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pPr>
      <w:bookmarkStart w:id="46" w:name="_GoBack"/>
      <w:bookmarkEnd w:id="46"/>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lang/>
        </w:rPr>
        <w:t>27.010</w:t>
      </w:r>
      <w:r>
        <w:fldChar w:fldCharType="end"/>
      </w:r>
      <w:bookmarkEnd w:id="0"/>
    </w:p>
    <w:p>
      <w:pPr>
        <w:pStyle w:val="114"/>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F 10</w:t>
      </w:r>
      <w:r>
        <w:fldChar w:fldCharType="end"/>
      </w:r>
      <w:bookmarkEnd w:id="1"/>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shd w:val="clear" w:color="auto" w:fill="auto"/>
            <w:vAlign w:val="top"/>
          </w:tcPr>
          <w:p>
            <w:pPr>
              <w:pStyle w:val="114"/>
            </w:pPr>
            <w:r>
              <w:rPr>
                <w:lang/>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wrap="square" upright="1"/>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K4v7NUAAAAHAQAADwAAAAAAAAABACAAAAAi&#10;AAAAZHJzL2Rvd25yZXYueG1sUEsBAhQAFAAAAAgAh07iQFNqfDebAQAAIgMAAA4AAAAAAAAAAQAg&#10;AAAAJAEAAGRycy9lMm9Eb2MueG1sUEsFBgAAAAAGAAYAWQEAADE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t> </w:t>
            </w:r>
            <w:r>
              <w:t> </w:t>
            </w:r>
            <w:r>
              <w:t> </w:t>
            </w:r>
            <w:r>
              <w:t> </w:t>
            </w:r>
            <w:r>
              <w:fldChar w:fldCharType="end"/>
            </w:r>
            <w:bookmarkEnd w:id="2"/>
          </w:p>
        </w:tc>
      </w:tr>
    </w:tbl>
    <w:p>
      <w:pPr>
        <w:pStyle w:val="101"/>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rPr>
        <w:t>37</w:t>
      </w:r>
      <w:r>
        <w:fldChar w:fldCharType="end"/>
      </w:r>
      <w:bookmarkEnd w:id="3"/>
    </w:p>
    <w:p>
      <w:pPr>
        <w:pStyle w:val="102"/>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lang/>
        </w:rPr>
        <w:t>山东省</w:t>
      </w:r>
      <w:r>
        <w:fldChar w:fldCharType="end"/>
      </w:r>
      <w:bookmarkEnd w:id="4"/>
      <w:r>
        <w:rPr>
          <w:rFonts w:hint="eastAsia"/>
        </w:rPr>
        <w:t>地方标准</w:t>
      </w:r>
    </w:p>
    <w:p>
      <w:pPr>
        <w:pStyle w:val="41"/>
        <w:rPr>
          <w:rFonts w:hAnsi="黑体"/>
        </w:rPr>
      </w:pPr>
      <w:r>
        <w:rPr>
          <w:rFonts w:ascii="Times New Roman"/>
        </w:rPr>
        <w:t>DB</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37</w:t>
      </w:r>
      <w:r>
        <w:rPr>
          <w:rFonts w:hAnsi="黑体"/>
        </w:rPr>
        <w:fldChar w:fldCharType="end"/>
      </w:r>
      <w:bookmarkEnd w:id="5"/>
      <w:r>
        <w:rPr>
          <w:rFonts w:hAnsi="黑体"/>
        </w:rPr>
        <w:t>/</w:t>
      </w:r>
      <w:r>
        <w:rPr>
          <w:rFonts w:hint="eastAsia" w:hAnsi="黑体"/>
        </w:rPr>
        <w:t>T</w:t>
      </w:r>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int="eastAsia" w:hAnsi="黑体"/>
        </w:rPr>
        <w:t>2673</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2015</w:t>
      </w:r>
      <w:r>
        <w:rPr>
          <w:rFonts w:hAnsi="黑体"/>
        </w:rPr>
        <w:fldChar w:fldCharType="end"/>
      </w:r>
      <w:bookmarkEnd w:id="7"/>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vAlign w:val="top"/>
          </w:tcPr>
          <w:p>
            <w:pPr>
              <w:pStyle w:val="69"/>
            </w:pPr>
            <w:bookmarkStart w:id="8" w:name="DT"/>
            <w:r>
              <w:rPr>
                <w:lang/>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&#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eYPLL1gAAAAgBAAAPAAAAAAAAAAEAIAAAACIAAABk&#10;cnMvZG93bnJldi54bWxQSwECFAAUAAAACACHTuJAhAExApYBAAAiAwAADgAAAAAAAAABACAAAAAl&#10;AQAAZHJzL2Uyb0RvYy54bWxQSwUGAAAAAAYABgBZAQAALQU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t> </w:t>
            </w:r>
            <w:r>
              <w:t> </w:t>
            </w:r>
            <w:r>
              <w:t> </w:t>
            </w:r>
            <w:r>
              <w:t> </w:t>
            </w:r>
            <w:r>
              <w:fldChar w:fldCharType="end"/>
            </w:r>
            <w:bookmarkEnd w:id="8"/>
          </w:p>
        </w:tc>
      </w:tr>
    </w:tbl>
    <w:p>
      <w:pPr>
        <w:pStyle w:val="41"/>
        <w:rPr>
          <w:rFonts w:hAnsi="黑体"/>
        </w:rPr>
      </w:pPr>
    </w:p>
    <w:p>
      <w:pPr>
        <w:pStyle w:val="41"/>
        <w:rPr>
          <w:rFonts w:hAnsi="黑体"/>
        </w:rPr>
      </w:pPr>
    </w:p>
    <w:p>
      <w:pPr>
        <w:pStyle w:val="71"/>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rPr>
        <w:t>医疗机构能源资源消费定额及计算方法</w:t>
      </w:r>
      <w:r>
        <w:fldChar w:fldCharType="end"/>
      </w:r>
      <w:bookmarkEnd w:id="9"/>
    </w:p>
    <w:p>
      <w:pPr>
        <w:pStyle w:val="72"/>
      </w:pPr>
    </w:p>
    <w:p>
      <w:pPr>
        <w:pStyle w:val="73"/>
      </w:pP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pPr>
              <w:pStyle w:val="74"/>
            </w:pPr>
            <w:r>
              <w:rPr>
                <w:lang/>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WJrpLVAAAACgEAAA8AAAAAAAAAAQAgAAAAIgAAAGRy&#10;cy9kb3ducmV2LnhtbFBLAQIUABQAAAAIAIdO4kB/7y+DlgEAACIDAAAOAAAAAAAAAAEAIAAAACQB&#10;AABkcnMvZTJvRG9jLnhtbFBLBQYAAAAABgAGAFkBAAAsBQAAA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4Yvl1gAAAAkBAAAPAAAAAAAAAAEAIAAAACIAAABk&#10;cnMvZG93bnJldi54bWxQSwECFAAUAAAACACHTuJAJ8rUxJYBAAAiAwAADgAAAAAAAAABACAAAAAl&#10;AQAAZHJzL2Uyb0RvYy54bWxQSwUGAAAAAAYABgBZAQAALQ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pPr>
              <w:pStyle w:val="75"/>
            </w:pPr>
          </w:p>
        </w:tc>
      </w:tr>
    </w:tbl>
    <w:p>
      <w:pPr>
        <w:pStyle w:val="121"/>
      </w:pPr>
      <w:bookmarkStart w:id="10"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2015</w:t>
      </w:r>
      <w:r>
        <w:rPr>
          <w:rFonts w:ascii="黑体"/>
        </w:rPr>
        <w:fldChar w:fldCharType="end"/>
      </w:r>
      <w:bookmarkEnd w:id="10"/>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06</w:t>
      </w:r>
      <w:r>
        <w:rPr>
          <w:rFonts w:ascii="黑体"/>
        </w:rPr>
        <w:fldChar w:fldCharType="end"/>
      </w:r>
      <w:r>
        <w:rPr>
          <w:rFonts w:ascii="黑体"/>
        </w:rPr>
        <w:t>-</w:t>
      </w:r>
      <w:bookmarkStart w:id="11"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10</w:t>
      </w:r>
      <w:r>
        <w:rPr>
          <w:rFonts w:ascii="黑体"/>
        </w:rPr>
        <w:fldChar w:fldCharType="end"/>
      </w:r>
      <w:bookmarkEnd w:id="11"/>
      <w:r>
        <w:rPr>
          <w:rFonts w:hint="eastAsia"/>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DRIdPcywEAAI4DAAAOAAAAAAAAAAEAIAAAACUBAABk&#10;cnMvZTJvRG9jLnhtbFBLBQYAAAAABgAGAFkBAABiBQAAAAA=&#10;">
                <v:fill on="f" focussize="0,0"/>
                <v:stroke color="#000000" joinstyle="round"/>
                <v:imagedata o:title=""/>
                <o:lock v:ext="edit" aspectratio="f"/>
                <w10:anchorlock/>
              </v:line>
            </w:pict>
          </mc:Fallback>
        </mc:AlternateContent>
      </w:r>
    </w:p>
    <w:p>
      <w:pPr>
        <w:pStyle w:val="122"/>
      </w:pPr>
      <w:bookmarkStart w:id="12"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2015</w:t>
      </w:r>
      <w:r>
        <w:rPr>
          <w:rFonts w:ascii="黑体"/>
        </w:rPr>
        <w:fldChar w:fldCharType="end"/>
      </w:r>
      <w:bookmarkEnd w:id="12"/>
      <w:r>
        <w:rPr>
          <w:rFonts w:ascii="黑体"/>
        </w:rPr>
        <w:t>-</w:t>
      </w:r>
      <w:bookmarkStart w:id="1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07</w:t>
      </w:r>
      <w:r>
        <w:rPr>
          <w:rFonts w:ascii="黑体"/>
        </w:rPr>
        <w:fldChar w:fldCharType="end"/>
      </w:r>
      <w:bookmarkEnd w:id="13"/>
      <w:r>
        <w:rPr>
          <w:rFonts w:ascii="黑体"/>
        </w:rPr>
        <w:t>-</w:t>
      </w:r>
      <w:bookmarkStart w:id="1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10</w:t>
      </w:r>
      <w:r>
        <w:rPr>
          <w:rFonts w:ascii="黑体"/>
        </w:rPr>
        <w:fldChar w:fldCharType="end"/>
      </w:r>
      <w:bookmarkEnd w:id="14"/>
      <w:r>
        <w:rPr>
          <w:rFonts w:hint="eastAsia"/>
        </w:rPr>
        <w:t>实施</w:t>
      </w:r>
    </w:p>
    <w:p>
      <w:pPr>
        <w:pStyle w:val="103"/>
      </w:pPr>
      <w:bookmarkStart w:id="15" w:name="fm"/>
      <w:r>
        <w:fldChar w:fldCharType="begin">
          <w:ffData>
            <w:name w:val="fm"/>
            <w:enabled/>
            <w:calcOnExit w:val="0"/>
            <w:textInput/>
          </w:ffData>
        </w:fldChar>
      </w:r>
      <w:r>
        <w:instrText xml:space="preserve"> FORMTEXT </w:instrText>
      </w:r>
      <w:r>
        <w:fldChar w:fldCharType="separate"/>
      </w:r>
      <w:r>
        <w:rPr>
          <w:rFonts w:hint="eastAsia"/>
          <w:lang/>
        </w:rPr>
        <w:t>山东省质量技术监督局</w:t>
      </w:r>
      <w:r>
        <w:fldChar w:fldCharType="end"/>
      </w:r>
      <w:bookmarkEnd w:id="15"/>
      <w:r>
        <w:rPr>
          <w:rFonts w:hint="eastAsia" w:ascii="MS Mincho" w:hAnsi="MS Mincho" w:eastAsia="MS Mincho" w:cs="MS Mincho"/>
        </w:rPr>
        <w:t> </w:t>
      </w:r>
      <w:r>
        <w:rPr>
          <w:rFonts w:hint="eastAsia" w:ascii="MS Mincho" w:hAnsi="MS Mincho" w:eastAsia="MS Mincho" w:cs="MS Mincho"/>
        </w:rPr>
        <w:t> </w:t>
      </w:r>
      <w:r>
        <w:rPr>
          <w:rFonts w:hint="eastAsia" w:ascii="MS Mincho" w:hAnsi="MS Mincho" w:eastAsia="MS Mincho" w:cs="MS Mincho"/>
        </w:rPr>
        <w:t> </w:t>
      </w:r>
      <w:r>
        <w:rPr>
          <w:rStyle w:val="129"/>
          <w:rFonts w:hint="eastAsia"/>
        </w:rPr>
        <w:t>发布</w:t>
      </w:r>
    </w:p>
    <w:p>
      <w:pPr>
        <w:pStyle w:val="2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Oebt0jMAQAAjgMAAA4AAAAAAAAAAQAgAAAAJgEA&#10;AGRycy9lMm9Eb2MueG1sUEsFBgAAAAAGAAYAWQEAAGQFAAAAAA==&#10;">
                <v:fill on="f" focussize="0,0"/>
                <v:stroke color="#000000" joinstyle="round"/>
                <v:imagedata o:title=""/>
                <o:lock v:ext="edit" aspectratio="f"/>
              </v:line>
            </w:pict>
          </mc:Fallback>
        </mc:AlternateContent>
      </w:r>
    </w:p>
    <w:p>
      <w:pPr>
        <w:pStyle w:val="44"/>
        <w:rPr>
          <w:rFonts w:hint="eastAsia"/>
        </w:rPr>
      </w:pPr>
      <w:bookmarkStart w:id="16" w:name="_Toc415087587"/>
      <w:r>
        <w:rPr>
          <w:rFonts w:hint="eastAsia"/>
        </w:rPr>
        <w:t>目</w:t>
      </w:r>
      <w:bookmarkStart w:id="17" w:name="BKML"/>
      <w:r>
        <w:rPr>
          <w:rFonts w:hint="eastAsia" w:ascii="MS Mincho" w:hAnsi="MS Mincho" w:eastAsia="MS Mincho" w:cs="MS Mincho"/>
        </w:rPr>
        <w:t> </w:t>
      </w:r>
      <w:r>
        <w:rPr>
          <w:rFonts w:hint="eastAsia" w:ascii="MS Mincho" w:hAnsi="MS Mincho" w:eastAsia="MS Mincho" w:cs="MS Mincho"/>
        </w:rPr>
        <w:t> </w:t>
      </w:r>
      <w:r>
        <w:rPr>
          <w:rFonts w:hint="eastAsia"/>
        </w:rPr>
        <w:t>次</w:t>
      </w:r>
      <w:bookmarkEnd w:id="17"/>
    </w:p>
    <w:p>
      <w:pPr>
        <w:pStyle w:val="16"/>
        <w:spacing w:before="78" w:after="78"/>
        <w:rPr>
          <w:rFonts w:ascii="Calibri" w:hAnsi="Calibri"/>
          <w:szCs w:val="22"/>
          <w:lang/>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rPr>
          <w:rStyle w:val="32"/>
        </w:rPr>
        <w:fldChar w:fldCharType="begin" w:fldLock="1"/>
      </w:r>
      <w:r>
        <w:rPr>
          <w:rStyle w:val="32"/>
        </w:rPr>
        <w:instrText xml:space="preserve"> </w:instrText>
      </w:r>
      <w:r>
        <w:rPr>
          <w:lang/>
        </w:rPr>
        <w:instrText xml:space="preserve">HYPERLINK \l "_Toc415170124"</w:instrText>
      </w:r>
      <w:r>
        <w:rPr>
          <w:rStyle w:val="32"/>
        </w:rPr>
        <w:instrText xml:space="preserve"> </w:instrText>
      </w:r>
      <w:r>
        <w:rPr>
          <w:rStyle w:val="32"/>
        </w:rPr>
        <w:fldChar w:fldCharType="separate"/>
      </w:r>
      <w:r>
        <w:rPr>
          <w:rStyle w:val="32"/>
          <w:rFonts w:hint="eastAsia"/>
        </w:rPr>
        <w:t>前言</w:t>
      </w:r>
      <w:r>
        <w:rPr>
          <w:lang/>
        </w:rPr>
        <w:tab/>
      </w:r>
      <w:r>
        <w:rPr>
          <w:lang/>
        </w:rPr>
        <w:fldChar w:fldCharType="begin" w:fldLock="1"/>
      </w:r>
      <w:r>
        <w:rPr>
          <w:lang/>
        </w:rPr>
        <w:instrText xml:space="preserve"> PAGEREF _Toc415170124 \h </w:instrText>
      </w:r>
      <w:r>
        <w:rPr>
          <w:lang/>
        </w:rPr>
        <w:fldChar w:fldCharType="separate"/>
      </w:r>
      <w:r>
        <w:rPr>
          <w:lang/>
        </w:rPr>
        <w:t>II</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"_Toc415170125"</w:instrText>
      </w:r>
      <w:r>
        <w:rPr>
          <w:rStyle w:val="32"/>
        </w:rPr>
        <w:instrText xml:space="preserve"> </w:instrText>
      </w:r>
      <w:r>
        <w:rPr>
          <w:rStyle w:val="32"/>
        </w:rPr>
        <w:fldChar w:fldCharType="separate"/>
      </w:r>
      <w:r>
        <w:rPr>
          <w:rStyle w:val="32"/>
        </w:rPr>
        <w:t>1</w:t>
      </w:r>
      <w:r>
        <w:rPr>
          <w:rStyle w:val="32"/>
          <w:rFonts w:hint="eastAsia"/>
        </w:rPr>
        <w:t>　范围</w:t>
      </w:r>
      <w:r>
        <w:rPr>
          <w:lang/>
        </w:rPr>
        <w:tab/>
      </w:r>
      <w:r>
        <w:rPr>
          <w:lang/>
        </w:rPr>
        <w:fldChar w:fldCharType="begin" w:fldLock="1"/>
      </w:r>
      <w:r>
        <w:rPr>
          <w:lang/>
        </w:rPr>
        <w:instrText xml:space="preserve"> PAGEREF _Toc415170125 \h </w:instrText>
      </w:r>
      <w:r>
        <w:rPr>
          <w:lang/>
        </w:rPr>
        <w:fldChar w:fldCharType="separate"/>
      </w:r>
      <w:r>
        <w:rPr>
          <w:lang/>
        </w:rPr>
        <w:t>1</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"_Toc415170126"</w:instrText>
      </w:r>
      <w:r>
        <w:rPr>
          <w:rStyle w:val="32"/>
        </w:rPr>
        <w:instrText xml:space="preserve"> </w:instrText>
      </w:r>
      <w:r>
        <w:rPr>
          <w:rStyle w:val="32"/>
        </w:rPr>
        <w:fldChar w:fldCharType="separate"/>
      </w:r>
      <w:r>
        <w:rPr>
          <w:rStyle w:val="32"/>
        </w:rPr>
        <w:t>2</w:t>
      </w:r>
      <w:r>
        <w:rPr>
          <w:rStyle w:val="32"/>
          <w:rFonts w:hint="eastAsia"/>
        </w:rPr>
        <w:t>　规范性引用文件</w:t>
      </w:r>
      <w:r>
        <w:rPr>
          <w:lang/>
        </w:rPr>
        <w:tab/>
      </w:r>
      <w:r>
        <w:rPr>
          <w:lang/>
        </w:rPr>
        <w:fldChar w:fldCharType="begin" w:fldLock="1"/>
      </w:r>
      <w:r>
        <w:rPr>
          <w:lang/>
        </w:rPr>
        <w:instrText xml:space="preserve"> PAGEREF _Toc415170126 \h </w:instrText>
      </w:r>
      <w:r>
        <w:rPr>
          <w:lang/>
        </w:rPr>
        <w:fldChar w:fldCharType="separate"/>
      </w:r>
      <w:r>
        <w:rPr>
          <w:lang/>
        </w:rPr>
        <w:t>1</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"_Toc415170127"</w:instrText>
      </w:r>
      <w:r>
        <w:rPr>
          <w:rStyle w:val="32"/>
        </w:rPr>
        <w:instrText xml:space="preserve"> </w:instrText>
      </w:r>
      <w:r>
        <w:rPr>
          <w:rStyle w:val="32"/>
        </w:rPr>
        <w:fldChar w:fldCharType="separate"/>
      </w:r>
      <w:r>
        <w:rPr>
          <w:rStyle w:val="32"/>
        </w:rPr>
        <w:t>3</w:t>
      </w:r>
      <w:r>
        <w:rPr>
          <w:rStyle w:val="32"/>
          <w:rFonts w:hint="eastAsia"/>
        </w:rPr>
        <w:t>　术语和定义</w:t>
      </w:r>
      <w:r>
        <w:rPr>
          <w:lang/>
        </w:rPr>
        <w:tab/>
      </w:r>
      <w:r>
        <w:rPr>
          <w:lang/>
        </w:rPr>
        <w:fldChar w:fldCharType="begin" w:fldLock="1"/>
      </w:r>
      <w:r>
        <w:rPr>
          <w:lang/>
        </w:rPr>
        <w:instrText xml:space="preserve"> PAGEREF _Toc415170127 \h </w:instrText>
      </w:r>
      <w:r>
        <w:rPr>
          <w:lang/>
        </w:rPr>
        <w:fldChar w:fldCharType="separate"/>
      </w:r>
      <w:r>
        <w:rPr>
          <w:lang/>
        </w:rPr>
        <w:t>1</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"_Toc415170128"</w:instrText>
      </w:r>
      <w:r>
        <w:rPr>
          <w:rStyle w:val="32"/>
        </w:rPr>
        <w:instrText xml:space="preserve"> </w:instrText>
      </w:r>
      <w:r>
        <w:rPr>
          <w:rStyle w:val="32"/>
        </w:rPr>
        <w:fldChar w:fldCharType="separate"/>
      </w:r>
      <w:r>
        <w:rPr>
          <w:rStyle w:val="32"/>
        </w:rPr>
        <w:t>4</w:t>
      </w:r>
      <w:r>
        <w:rPr>
          <w:rStyle w:val="32"/>
          <w:rFonts w:hint="eastAsia"/>
        </w:rPr>
        <w:t>　医疗机构能源资源消费的统计范围</w:t>
      </w:r>
      <w:r>
        <w:rPr>
          <w:lang/>
        </w:rPr>
        <w:tab/>
      </w:r>
      <w:r>
        <w:rPr>
          <w:lang/>
        </w:rPr>
        <w:fldChar w:fldCharType="begin" w:fldLock="1"/>
      </w:r>
      <w:r>
        <w:rPr>
          <w:lang/>
        </w:rPr>
        <w:instrText xml:space="preserve"> PAGEREF _Toc415170128 \h </w:instrText>
      </w:r>
      <w:r>
        <w:rPr>
          <w:lang/>
        </w:rPr>
        <w:fldChar w:fldCharType="separate"/>
      </w:r>
      <w:r>
        <w:rPr>
          <w:lang/>
        </w:rPr>
        <w:t>2</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"_Toc415170129"</w:instrText>
      </w:r>
      <w:r>
        <w:rPr>
          <w:rStyle w:val="32"/>
        </w:rPr>
        <w:instrText xml:space="preserve"> </w:instrText>
      </w:r>
      <w:r>
        <w:rPr>
          <w:rStyle w:val="32"/>
        </w:rPr>
        <w:fldChar w:fldCharType="separate"/>
      </w:r>
      <w:r>
        <w:rPr>
          <w:rStyle w:val="32"/>
        </w:rPr>
        <w:t>5</w:t>
      </w:r>
      <w:r>
        <w:rPr>
          <w:rStyle w:val="32"/>
          <w:rFonts w:hint="eastAsia"/>
        </w:rPr>
        <w:t>　行政机关能源资源消费的计算方法</w:t>
      </w:r>
      <w:r>
        <w:rPr>
          <w:lang/>
        </w:rPr>
        <w:tab/>
      </w:r>
      <w:r>
        <w:rPr>
          <w:lang/>
        </w:rPr>
        <w:fldChar w:fldCharType="begin" w:fldLock="1"/>
      </w:r>
      <w:r>
        <w:rPr>
          <w:lang/>
        </w:rPr>
        <w:instrText xml:space="preserve"> PAGEREF _Toc415170129 \h </w:instrText>
      </w:r>
      <w:r>
        <w:rPr>
          <w:lang/>
        </w:rPr>
        <w:fldChar w:fldCharType="separate"/>
      </w:r>
      <w:r>
        <w:rPr>
          <w:lang/>
        </w:rPr>
        <w:t>3</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"_Toc415170130"</w:instrText>
      </w:r>
      <w:r>
        <w:rPr>
          <w:rStyle w:val="32"/>
        </w:rPr>
        <w:instrText xml:space="preserve"> </w:instrText>
      </w:r>
      <w:r>
        <w:rPr>
          <w:rStyle w:val="32"/>
        </w:rPr>
        <w:fldChar w:fldCharType="separate"/>
      </w:r>
      <w:r>
        <w:rPr>
          <w:rStyle w:val="32"/>
        </w:rPr>
        <w:t>6</w:t>
      </w:r>
      <w:r>
        <w:rPr>
          <w:rStyle w:val="32"/>
          <w:rFonts w:hint="eastAsia"/>
        </w:rPr>
        <w:t>　医疗机构能源资源消费定额</w:t>
      </w:r>
      <w:r>
        <w:rPr>
          <w:lang/>
        </w:rPr>
        <w:tab/>
      </w:r>
      <w:r>
        <w:rPr>
          <w:lang/>
        </w:rPr>
        <w:fldChar w:fldCharType="begin" w:fldLock="1"/>
      </w:r>
      <w:r>
        <w:rPr>
          <w:lang/>
        </w:rPr>
        <w:instrText xml:space="preserve"> PAGEREF _Toc415170130 \h </w:instrText>
      </w:r>
      <w:r>
        <w:rPr>
          <w:lang/>
        </w:rPr>
        <w:fldChar w:fldCharType="separate"/>
      </w:r>
      <w:r>
        <w:rPr>
          <w:lang/>
        </w:rPr>
        <w:t>4</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"_Toc415170131"</w:instrText>
      </w:r>
      <w:r>
        <w:rPr>
          <w:rStyle w:val="32"/>
        </w:rPr>
        <w:instrText xml:space="preserve"> </w:instrText>
      </w:r>
      <w:r>
        <w:rPr>
          <w:rStyle w:val="32"/>
        </w:rPr>
        <w:fldChar w:fldCharType="separate"/>
      </w:r>
      <w:r>
        <w:rPr>
          <w:rStyle w:val="32"/>
        </w:rPr>
        <w:t>7</w:t>
      </w:r>
      <w:r>
        <w:rPr>
          <w:rStyle w:val="32"/>
          <w:rFonts w:hint="eastAsia"/>
        </w:rPr>
        <w:t>　节约能源资源的管理与技术措施</w:t>
      </w:r>
      <w:r>
        <w:rPr>
          <w:lang/>
        </w:rPr>
        <w:tab/>
      </w:r>
      <w:r>
        <w:rPr>
          <w:lang/>
        </w:rPr>
        <w:fldChar w:fldCharType="begin" w:fldLock="1"/>
      </w:r>
      <w:r>
        <w:rPr>
          <w:lang/>
        </w:rPr>
        <w:instrText xml:space="preserve"> PAGEREF _Toc415170131 \h </w:instrText>
      </w:r>
      <w:r>
        <w:rPr>
          <w:lang/>
        </w:rPr>
        <w:fldChar w:fldCharType="separate"/>
      </w:r>
      <w:r>
        <w:rPr>
          <w:lang/>
        </w:rPr>
        <w:t>5</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"_Toc415170132"</w:instrText>
      </w:r>
      <w:r>
        <w:rPr>
          <w:rStyle w:val="32"/>
        </w:rPr>
        <w:instrText xml:space="preserve"> </w:instrText>
      </w:r>
      <w:r>
        <w:rPr>
          <w:rStyle w:val="32"/>
        </w:rPr>
        <w:fldChar w:fldCharType="separate"/>
      </w:r>
      <w:r>
        <w:rPr>
          <w:rStyle w:val="32"/>
          <w:rFonts w:hint="eastAsia"/>
        </w:rPr>
        <w:t>附录A（资料性附录）</w:t>
      </w:r>
      <w:r>
        <w:rPr>
          <w:rStyle w:val="32"/>
        </w:rPr>
        <w:t>　</w:t>
      </w:r>
      <w:r>
        <w:rPr>
          <w:rStyle w:val="32"/>
          <w:rFonts w:hint="eastAsia"/>
        </w:rPr>
        <w:t>常用能源折标煤参考系数</w:t>
      </w:r>
      <w:r>
        <w:rPr>
          <w:lang/>
        </w:rPr>
        <w:tab/>
      </w:r>
      <w:r>
        <w:rPr>
          <w:lang/>
        </w:rPr>
        <w:fldChar w:fldCharType="begin" w:fldLock="1"/>
      </w:r>
      <w:r>
        <w:rPr>
          <w:lang/>
        </w:rPr>
        <w:instrText xml:space="preserve"> PAGEREF _Toc415170132 \h </w:instrText>
      </w:r>
      <w:r>
        <w:rPr>
          <w:lang/>
        </w:rPr>
        <w:fldChar w:fldCharType="separate"/>
      </w:r>
      <w:r>
        <w:rPr>
          <w:lang/>
        </w:rPr>
        <w:t>6</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"_Toc415170133"</w:instrText>
      </w:r>
      <w:r>
        <w:rPr>
          <w:rStyle w:val="32"/>
        </w:rPr>
        <w:instrText xml:space="preserve"> </w:instrText>
      </w:r>
      <w:r>
        <w:rPr>
          <w:rStyle w:val="32"/>
        </w:rPr>
        <w:fldChar w:fldCharType="separate"/>
      </w:r>
      <w:r>
        <w:rPr>
          <w:rStyle w:val="32"/>
          <w:rFonts w:hint="eastAsia"/>
        </w:rPr>
        <w:t>附录B（资料性附录）</w:t>
      </w:r>
      <w:r>
        <w:rPr>
          <w:rStyle w:val="32"/>
        </w:rPr>
        <w:t>　</w:t>
      </w:r>
      <w:r>
        <w:rPr>
          <w:rStyle w:val="32"/>
          <w:rFonts w:hint="eastAsia"/>
        </w:rPr>
        <w:t>能源资源消费定额的使用</w:t>
      </w:r>
      <w:r>
        <w:rPr>
          <w:lang/>
        </w:rPr>
        <w:tab/>
      </w:r>
      <w:r>
        <w:rPr>
          <w:lang/>
        </w:rPr>
        <w:fldChar w:fldCharType="begin" w:fldLock="1"/>
      </w:r>
      <w:r>
        <w:rPr>
          <w:lang/>
        </w:rPr>
        <w:instrText xml:space="preserve"> PAGEREF _Toc415170133 \h </w:instrText>
      </w:r>
      <w:r>
        <w:rPr>
          <w:lang/>
        </w:rPr>
        <w:fldChar w:fldCharType="separate"/>
      </w:r>
      <w:r>
        <w:rPr>
          <w:lang/>
        </w:rPr>
        <w:t>7</w:t>
      </w:r>
      <w:r>
        <w:rPr>
          <w:lang/>
        </w:rPr>
        <w:fldChar w:fldCharType="end"/>
      </w:r>
      <w:r>
        <w:rPr>
          <w:rStyle w:val="32"/>
        </w:rPr>
        <w:fldChar w:fldCharType="end"/>
      </w:r>
    </w:p>
    <w:p>
      <w:pPr>
        <w:pStyle w:val="16"/>
        <w:spacing w:before="78" w:after="78"/>
        <w:rPr>
          <w:rFonts w:ascii="Calibri" w:hAnsi="Calibri"/>
          <w:szCs w:val="22"/>
          <w:lang/>
        </w:rPr>
      </w:pPr>
      <w:r>
        <w:rPr>
          <w:rStyle w:val="32"/>
        </w:rPr>
        <w:fldChar w:fldCharType="begin" w:fldLock="1"/>
      </w:r>
      <w:r>
        <w:rPr>
          <w:rStyle w:val="32"/>
        </w:rPr>
        <w:instrText xml:space="preserve"> </w:instrText>
      </w:r>
      <w:r>
        <w:rPr>
          <w:lang/>
        </w:rPr>
        <w:instrText xml:space="preserve">HYPERLINK \l "_Toc415170134"</w:instrText>
      </w:r>
      <w:r>
        <w:rPr>
          <w:rStyle w:val="32"/>
        </w:rPr>
        <w:instrText xml:space="preserve"> </w:instrText>
      </w:r>
      <w:r>
        <w:rPr>
          <w:rStyle w:val="32"/>
        </w:rPr>
        <w:fldChar w:fldCharType="separate"/>
      </w:r>
      <w:r>
        <w:rPr>
          <w:rStyle w:val="32"/>
          <w:rFonts w:hint="eastAsia"/>
        </w:rPr>
        <w:t>参考文献</w:t>
      </w:r>
      <w:r>
        <w:rPr>
          <w:lang/>
        </w:rPr>
        <w:tab/>
      </w:r>
      <w:r>
        <w:rPr>
          <w:lang/>
        </w:rPr>
        <w:fldChar w:fldCharType="begin" w:fldLock="1"/>
      </w:r>
      <w:r>
        <w:rPr>
          <w:lang/>
        </w:rPr>
        <w:instrText xml:space="preserve"> PAGEREF _Toc415170134 \h </w:instrText>
      </w:r>
      <w:r>
        <w:rPr>
          <w:lang/>
        </w:rPr>
        <w:fldChar w:fldCharType="separate"/>
      </w:r>
      <w:r>
        <w:rPr>
          <w:lang/>
        </w:rPr>
        <w:t>8</w:t>
      </w:r>
      <w:r>
        <w:rPr>
          <w:lang/>
        </w:rPr>
        <w:fldChar w:fldCharType="end"/>
      </w:r>
      <w:r>
        <w:rPr>
          <w:rStyle w:val="32"/>
        </w:rPr>
        <w:fldChar w:fldCharType="end"/>
      </w:r>
    </w:p>
    <w:p>
      <w:pPr>
        <w:pStyle w:val="20"/>
        <w:rPr>
          <w:rFonts w:hint="eastAsia"/>
        </w:rPr>
      </w:pPr>
      <w:r>
        <w:fldChar w:fldCharType="end"/>
      </w:r>
    </w:p>
    <w:p>
      <w:pPr>
        <w:pStyle w:val="104"/>
        <w:rPr>
          <w:rFonts w:hint="eastAsia"/>
          <w:color w:val="000000"/>
        </w:rPr>
      </w:pPr>
      <w:bookmarkStart w:id="18" w:name="_Toc415170124"/>
      <w:r>
        <w:rPr>
          <w:rFonts w:hint="eastAsia"/>
          <w:color w:val="000000"/>
        </w:rPr>
        <w:t>前</w:t>
      </w:r>
      <w:bookmarkStart w:id="19" w:name="BKQY"/>
      <w:r>
        <w:rPr>
          <w:rFonts w:hint="eastAsia" w:ascii="MS Mincho" w:hAnsi="MS Mincho" w:eastAsia="MS Mincho" w:cs="MS Mincho"/>
          <w:color w:val="000000"/>
        </w:rPr>
        <w:t> </w:t>
      </w:r>
      <w:r>
        <w:rPr>
          <w:rFonts w:hint="eastAsia" w:ascii="MS Mincho" w:hAnsi="MS Mincho" w:eastAsia="MS Mincho" w:cs="MS Mincho"/>
          <w:color w:val="000000"/>
        </w:rPr>
        <w:t> </w:t>
      </w:r>
      <w:r>
        <w:rPr>
          <w:rFonts w:hint="eastAsia"/>
          <w:color w:val="000000"/>
        </w:rPr>
        <w:t>言</w:t>
      </w:r>
      <w:bookmarkEnd w:id="16"/>
      <w:bookmarkEnd w:id="18"/>
      <w:bookmarkEnd w:id="19"/>
    </w:p>
    <w:p>
      <w:pPr>
        <w:pStyle w:val="20"/>
        <w:rPr>
          <w:rFonts w:hint="eastAsia"/>
          <w:color w:val="000000"/>
        </w:rPr>
      </w:pPr>
      <w:r>
        <w:rPr>
          <w:rFonts w:hint="eastAsia"/>
          <w:color w:val="000000"/>
        </w:rPr>
        <w:t>本标准按照GB/T 1.1—2009的规则起草。</w:t>
      </w:r>
    </w:p>
    <w:p>
      <w:pPr>
        <w:pStyle w:val="20"/>
        <w:rPr>
          <w:rFonts w:hint="eastAsia"/>
          <w:color w:val="000000"/>
        </w:rPr>
      </w:pPr>
      <w:r>
        <w:rPr>
          <w:rFonts w:hint="eastAsia"/>
          <w:color w:val="000000"/>
        </w:rPr>
        <w:t>本标准由山东省机关事务管理局、山东省质量技术监督局提出。</w:t>
      </w:r>
    </w:p>
    <w:p>
      <w:pPr>
        <w:pStyle w:val="20"/>
        <w:rPr>
          <w:rFonts w:hint="eastAsia"/>
          <w:color w:val="000000"/>
        </w:rPr>
      </w:pPr>
      <w:r>
        <w:rPr>
          <w:rFonts w:hint="eastAsia"/>
          <w:color w:val="000000"/>
        </w:rPr>
        <w:t>本标准由山东能源标准化技术委员会归口。</w:t>
      </w:r>
    </w:p>
    <w:p>
      <w:pPr>
        <w:pStyle w:val="20"/>
        <w:rPr>
          <w:rFonts w:hint="eastAsia"/>
          <w:color w:val="000000"/>
        </w:rPr>
      </w:pPr>
      <w:r>
        <w:rPr>
          <w:rFonts w:hint="eastAsia"/>
          <w:color w:val="000000"/>
        </w:rPr>
        <w:t>本标准起草单位由山东省标准化研究院、山东省机关事务管理局、山东省卫生和计划生育委员会负责起草，山东省交通医院、山东大学参加起草。</w:t>
      </w:r>
    </w:p>
    <w:p>
      <w:pPr>
        <w:pStyle w:val="20"/>
        <w:rPr>
          <w:rFonts w:hint="eastAsia"/>
          <w:color w:val="000000"/>
        </w:rPr>
      </w:pPr>
      <w:r>
        <w:rPr>
          <w:rFonts w:hint="eastAsia"/>
          <w:color w:val="000000"/>
        </w:rPr>
        <w:t>本标准主要起草人：黎燕、张韬、熊绍东、宋元新、刘春峰、马庆、李岩。</w:t>
      </w:r>
    </w:p>
    <w:p>
      <w:pPr>
        <w:pStyle w:val="2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4"/>
        <w:rPr>
          <w:rFonts w:hint="eastAsia"/>
          <w:color w:val="000000"/>
        </w:rPr>
      </w:pPr>
      <w:r>
        <w:rPr>
          <w:rFonts w:hint="eastAsia"/>
          <w:color w:val="000000"/>
        </w:rPr>
        <w:t>医</w:t>
      </w:r>
      <w:bookmarkStart w:id="20" w:name="StandardName"/>
      <w:r>
        <w:rPr>
          <w:rFonts w:hint="eastAsia"/>
          <w:color w:val="000000"/>
        </w:rPr>
        <w:t>疗机构能源资源消费定额及计算方法</w:t>
      </w:r>
      <w:bookmarkEnd w:id="20"/>
    </w:p>
    <w:p>
      <w:pPr>
        <w:pStyle w:val="39"/>
        <w:rPr>
          <w:rFonts w:hint="eastAsia"/>
          <w:color w:val="000000"/>
        </w:rPr>
      </w:pPr>
      <w:bookmarkStart w:id="21" w:name="_Toc415087588"/>
      <w:bookmarkStart w:id="22" w:name="_Toc415170125"/>
      <w:r>
        <w:rPr>
          <w:rFonts w:hint="eastAsia"/>
          <w:color w:val="000000"/>
        </w:rPr>
        <w:t>范围</w:t>
      </w:r>
      <w:bookmarkEnd w:id="21"/>
      <w:bookmarkEnd w:id="22"/>
    </w:p>
    <w:p>
      <w:pPr>
        <w:pStyle w:val="20"/>
        <w:rPr>
          <w:rFonts w:hint="eastAsia"/>
          <w:color w:val="000000"/>
        </w:rPr>
      </w:pPr>
      <w:r>
        <w:rPr>
          <w:rFonts w:hint="eastAsia"/>
          <w:color w:val="000000"/>
        </w:rPr>
        <w:t>本标准规定了医疗机构能源资源消费定额及计算方法的术语和定义、能源资源消费定额、统计范围、计算方法、节约能源资源的管理与技术措施。</w:t>
      </w:r>
    </w:p>
    <w:p>
      <w:pPr>
        <w:pStyle w:val="20"/>
        <w:rPr>
          <w:rFonts w:hint="eastAsia"/>
          <w:color w:val="000000"/>
        </w:rPr>
      </w:pPr>
      <w:r>
        <w:rPr>
          <w:rFonts w:hint="eastAsia"/>
          <w:color w:val="000000"/>
        </w:rPr>
        <w:t>本标准适用于床位数大于500的医疗机构在从事疾病诊断、治疗活动过程中综合能耗、综合水耗等能源资源的计算与考核。床位数在500及以下的医疗机构可参考使用。</w:t>
      </w:r>
    </w:p>
    <w:p>
      <w:pPr>
        <w:pStyle w:val="39"/>
        <w:rPr>
          <w:rFonts w:hint="eastAsia"/>
          <w:color w:val="000000"/>
        </w:rPr>
      </w:pPr>
      <w:bookmarkStart w:id="23" w:name="_Toc415087589"/>
      <w:bookmarkStart w:id="24" w:name="_Toc415170126"/>
      <w:r>
        <w:rPr>
          <w:rFonts w:hint="eastAsia"/>
          <w:color w:val="000000"/>
        </w:rPr>
        <w:t>规范性引用文件</w:t>
      </w:r>
      <w:bookmarkEnd w:id="23"/>
      <w:bookmarkEnd w:id="24"/>
    </w:p>
    <w:p>
      <w:pPr>
        <w:pStyle w:val="20"/>
        <w:rPr>
          <w:rFonts w:hint="eastAsia"/>
          <w:color w:val="000000"/>
        </w:rPr>
      </w:pPr>
      <w:r>
        <w:rPr>
          <w:rFonts w:hint="eastAsia"/>
          <w:color w:val="000000"/>
        </w:rPr>
        <w:t>下列文件对于本文件的应用是必不可少的。凡是注日期的引用文件，仅所注日期的版本适用于本文件。凡是不注日期的引用文件，其最新版本（包括所有的修改单）适用于本文件。</w:t>
      </w:r>
    </w:p>
    <w:p>
      <w:pPr>
        <w:pStyle w:val="20"/>
        <w:rPr>
          <w:rFonts w:hint="eastAsia"/>
          <w:color w:val="000000"/>
        </w:rPr>
      </w:pPr>
      <w:r>
        <w:rPr>
          <w:rFonts w:hint="eastAsia"/>
          <w:color w:val="000000"/>
        </w:rPr>
        <w:t>GB/T 213　煤的发热量测定方法</w:t>
      </w:r>
    </w:p>
    <w:p>
      <w:pPr>
        <w:pStyle w:val="20"/>
        <w:rPr>
          <w:rFonts w:hint="eastAsia"/>
          <w:color w:val="000000"/>
        </w:rPr>
      </w:pPr>
      <w:r>
        <w:rPr>
          <w:rFonts w:hint="eastAsia"/>
          <w:color w:val="000000"/>
        </w:rPr>
        <w:t>GB/T 384　石油产品热值测定法</w:t>
      </w:r>
    </w:p>
    <w:p>
      <w:pPr>
        <w:pStyle w:val="20"/>
        <w:rPr>
          <w:rFonts w:hint="eastAsia"/>
          <w:color w:val="000000"/>
        </w:rPr>
      </w:pPr>
      <w:r>
        <w:rPr>
          <w:rFonts w:hint="eastAsia"/>
          <w:color w:val="000000"/>
        </w:rPr>
        <w:t>GB/T 29149　公共机构能源资源计量器具配备和管理要求</w:t>
      </w:r>
    </w:p>
    <w:p>
      <w:pPr>
        <w:pStyle w:val="20"/>
        <w:rPr>
          <w:rFonts w:hint="eastAsia"/>
          <w:color w:val="000000"/>
        </w:rPr>
      </w:pPr>
      <w:r>
        <w:rPr>
          <w:rFonts w:hint="eastAsia"/>
          <w:color w:val="000000"/>
        </w:rPr>
        <w:t>GB/T 50353　建筑工程建筑面积计算规范</w:t>
      </w:r>
    </w:p>
    <w:p>
      <w:pPr>
        <w:pStyle w:val="39"/>
        <w:rPr>
          <w:rFonts w:hint="eastAsia"/>
          <w:color w:val="000000"/>
        </w:rPr>
      </w:pPr>
      <w:bookmarkStart w:id="25" w:name="_Toc413075917"/>
      <w:bookmarkStart w:id="26" w:name="_Toc415087590"/>
      <w:bookmarkStart w:id="27" w:name="_Toc415170127"/>
      <w:r>
        <w:rPr>
          <w:rFonts w:hint="eastAsia"/>
          <w:color w:val="000000"/>
        </w:rPr>
        <w:t>术语和定义</w:t>
      </w:r>
      <w:bookmarkEnd w:id="25"/>
      <w:bookmarkEnd w:id="26"/>
      <w:bookmarkEnd w:id="27"/>
    </w:p>
    <w:p>
      <w:pPr>
        <w:pStyle w:val="20"/>
        <w:rPr>
          <w:rFonts w:hint="eastAsia"/>
          <w:color w:val="000000"/>
        </w:rPr>
      </w:pPr>
      <w:r>
        <w:rPr>
          <w:rFonts w:hint="eastAsia"/>
          <w:color w:val="000000"/>
        </w:rPr>
        <w:t>下列术语和定义适用于本文件。</w:t>
      </w:r>
    </w:p>
    <w:p>
      <w:pPr>
        <w:pStyle w:val="36"/>
        <w:rPr>
          <w:rFonts w:hint="eastAsia"/>
          <w:color w:val="000000"/>
        </w:rPr>
      </w:pPr>
      <w:bookmarkStart w:id="28" w:name="_Toc413075918"/>
      <w:bookmarkStart w:id="29" w:name="_Toc415087591"/>
    </w:p>
    <w:p>
      <w:pPr>
        <w:pStyle w:val="36"/>
        <w:numPr>
          <w:ilvl w:val="0"/>
          <w:numId w:val="0"/>
        </w:numPr>
        <w:ind w:firstLine="420" w:firstLineChars="200"/>
        <w:rPr>
          <w:rFonts w:hint="eastAsia"/>
          <w:color w:val="000000"/>
        </w:rPr>
      </w:pPr>
      <w:r>
        <w:rPr>
          <w:rFonts w:hint="eastAsia"/>
          <w:color w:val="000000"/>
        </w:rPr>
        <w:t>医疗机构</w:t>
      </w:r>
    </w:p>
    <w:p>
      <w:pPr>
        <w:pStyle w:val="20"/>
        <w:rPr>
          <w:rFonts w:hint="eastAsia"/>
          <w:color w:val="000000"/>
        </w:rPr>
      </w:pPr>
      <w:r>
        <w:rPr>
          <w:rFonts w:hint="eastAsia"/>
          <w:color w:val="000000"/>
        </w:rPr>
        <w:t>从事疾病诊断、治疗活动，且具有一定床位数的医院。</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统计报告期</w:t>
      </w:r>
    </w:p>
    <w:p>
      <w:pPr>
        <w:pStyle w:val="20"/>
        <w:rPr>
          <w:rFonts w:hint="eastAsia"/>
          <w:color w:val="000000"/>
        </w:rPr>
      </w:pPr>
      <w:r>
        <w:rPr>
          <w:rFonts w:hint="eastAsia"/>
          <w:color w:val="000000"/>
        </w:rPr>
        <w:t>进行统计的具体时间期限。本文件中指每年的1月1日至12月31日。</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实际占用总床日数</w:t>
      </w:r>
    </w:p>
    <w:p>
      <w:pPr>
        <w:pStyle w:val="20"/>
        <w:rPr>
          <w:rFonts w:hint="eastAsia"/>
          <w:color w:val="000000"/>
        </w:rPr>
      </w:pPr>
      <w:r>
        <w:rPr>
          <w:rFonts w:hint="eastAsia"/>
          <w:color w:val="000000"/>
        </w:rPr>
        <w:t>医院各科室每日夜间12点实际占用病床数（即每日夜晚12点住院人数）总和，包括实际占用的临时加床在内。</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床位数　hospital bed</w:t>
      </w:r>
    </w:p>
    <w:p>
      <w:pPr>
        <w:pStyle w:val="20"/>
        <w:rPr>
          <w:rFonts w:hint="eastAsia"/>
          <w:color w:val="000000"/>
        </w:rPr>
      </w:pPr>
      <w:r>
        <w:rPr>
          <w:rFonts w:hint="eastAsia"/>
          <w:color w:val="000000"/>
        </w:rPr>
        <w:t>医疗机构实际占用床位日数，即全年实际占用总床日数与年实际天数的比值。</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医疗机构综合能耗</w:t>
      </w:r>
    </w:p>
    <w:p>
      <w:pPr>
        <w:pStyle w:val="20"/>
        <w:rPr>
          <w:rFonts w:hint="eastAsia"/>
          <w:color w:val="000000"/>
        </w:rPr>
      </w:pPr>
      <w:r>
        <w:rPr>
          <w:rFonts w:hint="eastAsia"/>
          <w:color w:val="000000"/>
        </w:rPr>
        <w:t>在统计报告期内，将从事疾病诊断、医疗活动过程中实际消费的各类能源实物量，按照规定的计算方法和单位分别折算后的总和。单位为千克标准煤每年（</w:t>
      </w:r>
      <w:r>
        <w:rPr>
          <w:color w:val="000000"/>
        </w:rPr>
        <w:t>kgce/a</w:t>
      </w:r>
      <w:r>
        <w:rPr>
          <w:rFonts w:hint="eastAsia"/>
          <w:color w:val="000000"/>
        </w:rPr>
        <w:t>）。</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医疗机构建筑能耗</w:t>
      </w:r>
    </w:p>
    <w:p>
      <w:pPr>
        <w:pStyle w:val="20"/>
        <w:rPr>
          <w:rFonts w:hint="eastAsia"/>
          <w:color w:val="000000"/>
        </w:rPr>
      </w:pPr>
      <w:r>
        <w:rPr>
          <w:rFonts w:hint="eastAsia"/>
          <w:color w:val="000000"/>
        </w:rPr>
        <w:t>在统计报告期内，将从事诊断、医疗及其它保证上述活动过程中各类建筑实际消费的各种能源实物量，包括照明、采暖、空调、电梯、医疗设备、办公设备等的能耗，按照规定的计算方法和单位分别折算后的总和。单位为千克标准煤每年（</w:t>
      </w:r>
      <w:r>
        <w:rPr>
          <w:color w:val="000000"/>
        </w:rPr>
        <w:t>kgce/a</w:t>
      </w:r>
      <w:r>
        <w:rPr>
          <w:rFonts w:hint="eastAsia"/>
          <w:color w:val="000000"/>
        </w:rPr>
        <w:t>）。</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医疗机构单位面积建筑能耗</w:t>
      </w:r>
    </w:p>
    <w:p>
      <w:pPr>
        <w:pStyle w:val="20"/>
        <w:rPr>
          <w:rFonts w:hint="eastAsia"/>
          <w:color w:val="000000"/>
        </w:rPr>
      </w:pPr>
      <w:r>
        <w:rPr>
          <w:rFonts w:hint="eastAsia"/>
          <w:color w:val="000000"/>
        </w:rPr>
        <w:t>在统计报告期内，医疗机构建筑能耗与建筑面积的比值。单位为千克标准煤每平方米每年</w:t>
      </w:r>
      <w:r>
        <w:rPr>
          <w:color w:val="000000"/>
        </w:rPr>
        <w:t>[kgce/(m</w:t>
      </w:r>
      <w:r>
        <w:rPr>
          <w:color w:val="000000"/>
          <w:vertAlign w:val="superscript"/>
        </w:rPr>
        <w:t>2</w:t>
      </w:r>
      <w:r>
        <w:rPr>
          <w:rFonts w:hint="eastAsia"/>
          <w:color w:val="000000"/>
        </w:rPr>
        <w:t>·</w:t>
      </w:r>
      <w:r>
        <w:rPr>
          <w:color w:val="000000"/>
        </w:rPr>
        <w:t>a)]</w:t>
      </w:r>
      <w:r>
        <w:rPr>
          <w:rFonts w:hint="eastAsia"/>
          <w:color w:val="000000"/>
        </w:rPr>
        <w:t>。</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医疗机构床均综合能耗</w:t>
      </w:r>
    </w:p>
    <w:p>
      <w:pPr>
        <w:pStyle w:val="20"/>
        <w:rPr>
          <w:rFonts w:hint="eastAsia"/>
          <w:color w:val="000000"/>
        </w:rPr>
      </w:pPr>
      <w:r>
        <w:rPr>
          <w:rFonts w:hint="eastAsia"/>
          <w:color w:val="000000"/>
        </w:rPr>
        <w:t>在统计报告期内，医疗机构综合能耗与床位数的比值。单位为千克标准煤每床每年</w:t>
      </w:r>
      <w:r>
        <w:rPr>
          <w:color w:val="000000"/>
        </w:rPr>
        <w:t>[kgce/</w:t>
      </w:r>
      <w:r>
        <w:rPr>
          <w:rFonts w:hint="eastAsia"/>
          <w:color w:val="000000"/>
        </w:rPr>
        <w:t>（hb·</w:t>
      </w:r>
      <w:r>
        <w:rPr>
          <w:color w:val="000000"/>
        </w:rPr>
        <w:t>a</w:t>
      </w:r>
      <w:r>
        <w:rPr>
          <w:rFonts w:hint="eastAsia"/>
          <w:color w:val="000000"/>
        </w:rPr>
        <w:t>）</w:t>
      </w:r>
      <w:r>
        <w:rPr>
          <w:color w:val="000000"/>
        </w:rPr>
        <w:t>]</w:t>
      </w:r>
      <w:r>
        <w:rPr>
          <w:rFonts w:hint="eastAsia"/>
          <w:color w:val="000000"/>
        </w:rPr>
        <w:t>。</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医疗机构综合水耗</w:t>
      </w:r>
    </w:p>
    <w:p>
      <w:pPr>
        <w:pStyle w:val="20"/>
        <w:rPr>
          <w:rFonts w:hint="eastAsia"/>
          <w:color w:val="000000"/>
        </w:rPr>
      </w:pPr>
      <w:r>
        <w:rPr>
          <w:rFonts w:hint="eastAsia"/>
          <w:color w:val="000000"/>
        </w:rPr>
        <w:t>在统计报告期内，医疗机构实际消费的水实物量的总和。包括自来水、自备井供水、直饮水、桶装水等。单位为立方米每年（m</w:t>
      </w:r>
      <w:r>
        <w:rPr>
          <w:rFonts w:hint="eastAsia"/>
          <w:color w:val="000000"/>
          <w:vertAlign w:val="superscript"/>
        </w:rPr>
        <w:t>3</w:t>
      </w:r>
      <w:r>
        <w:rPr>
          <w:color w:val="000000"/>
        </w:rPr>
        <w:t>/a</w:t>
      </w:r>
      <w:r>
        <w:rPr>
          <w:rFonts w:hint="eastAsia"/>
          <w:color w:val="000000"/>
        </w:rPr>
        <w:t>）。</w:t>
      </w:r>
    </w:p>
    <w:p>
      <w:pPr>
        <w:pStyle w:val="36"/>
        <w:rPr>
          <w:rFonts w:hint="eastAsia"/>
          <w:color w:val="000000"/>
        </w:rPr>
      </w:pPr>
    </w:p>
    <w:p>
      <w:pPr>
        <w:pStyle w:val="36"/>
        <w:numPr>
          <w:ilvl w:val="0"/>
          <w:numId w:val="0"/>
        </w:numPr>
        <w:ind w:firstLine="420" w:firstLineChars="200"/>
        <w:rPr>
          <w:rFonts w:hint="eastAsia"/>
          <w:color w:val="000000"/>
        </w:rPr>
      </w:pPr>
      <w:r>
        <w:rPr>
          <w:rFonts w:hint="eastAsia"/>
          <w:color w:val="000000"/>
        </w:rPr>
        <w:t>医疗机构床均综合水耗</w:t>
      </w:r>
    </w:p>
    <w:p>
      <w:pPr>
        <w:pStyle w:val="20"/>
        <w:rPr>
          <w:rFonts w:hint="eastAsia"/>
          <w:color w:val="000000"/>
        </w:rPr>
      </w:pPr>
      <w:r>
        <w:rPr>
          <w:rFonts w:hint="eastAsia"/>
          <w:color w:val="000000"/>
        </w:rPr>
        <w:t>在统计报告期内，医疗机构综合水耗与床位数的比值。单位为立方米每床每年</w:t>
      </w:r>
      <w:r>
        <w:rPr>
          <w:color w:val="000000"/>
        </w:rPr>
        <w:t>[</w:t>
      </w:r>
      <w:r>
        <w:rPr>
          <w:rFonts w:hint="eastAsia"/>
          <w:color w:val="000000"/>
        </w:rPr>
        <w:t>m</w:t>
      </w:r>
      <w:r>
        <w:rPr>
          <w:rFonts w:hint="eastAsia"/>
          <w:color w:val="000000"/>
          <w:vertAlign w:val="superscript"/>
        </w:rPr>
        <w:t>3</w:t>
      </w:r>
      <w:r>
        <w:rPr>
          <w:color w:val="000000"/>
        </w:rPr>
        <w:t>/(</w:t>
      </w:r>
      <w:r>
        <w:rPr>
          <w:rFonts w:hint="eastAsia"/>
          <w:color w:val="000000"/>
        </w:rPr>
        <w:t>hb·</w:t>
      </w:r>
      <w:r>
        <w:rPr>
          <w:color w:val="000000"/>
        </w:rPr>
        <w:t>a)]</w:t>
      </w:r>
      <w:r>
        <w:rPr>
          <w:rFonts w:hint="eastAsia"/>
          <w:color w:val="000000"/>
        </w:rPr>
        <w:t>。</w:t>
      </w:r>
    </w:p>
    <w:bookmarkEnd w:id="28"/>
    <w:bookmarkEnd w:id="29"/>
    <w:p>
      <w:pPr>
        <w:pStyle w:val="39"/>
        <w:rPr>
          <w:rFonts w:hint="eastAsia"/>
          <w:color w:val="000000"/>
        </w:rPr>
      </w:pPr>
      <w:bookmarkStart w:id="30" w:name="_Toc411435937"/>
      <w:bookmarkStart w:id="31" w:name="_Toc415170128"/>
      <w:bookmarkStart w:id="32" w:name="_Toc413075919"/>
      <w:bookmarkStart w:id="33" w:name="_Toc415087592"/>
      <w:r>
        <w:rPr>
          <w:rFonts w:hint="eastAsia"/>
          <w:color w:val="000000"/>
        </w:rPr>
        <w:t>医疗机构能源资源消费的统计范围</w:t>
      </w:r>
      <w:bookmarkEnd w:id="30"/>
      <w:bookmarkEnd w:id="31"/>
    </w:p>
    <w:p>
      <w:pPr>
        <w:pStyle w:val="36"/>
        <w:rPr>
          <w:rFonts w:hint="eastAsia"/>
          <w:color w:val="000000"/>
        </w:rPr>
      </w:pPr>
      <w:r>
        <w:rPr>
          <w:rFonts w:hint="eastAsia"/>
          <w:color w:val="000000"/>
        </w:rPr>
        <w:t>医疗机构综合能耗的统计范围</w:t>
      </w:r>
    </w:p>
    <w:p>
      <w:pPr>
        <w:pStyle w:val="20"/>
        <w:rPr>
          <w:rFonts w:hint="eastAsia"/>
          <w:color w:val="000000"/>
        </w:rPr>
      </w:pPr>
      <w:r>
        <w:rPr>
          <w:rFonts w:hint="eastAsia"/>
          <w:color w:val="000000"/>
        </w:rPr>
        <w:t>统计对象在统计报告期内，在从事诊断、医疗及其它保证上述活动中，实际消费的一次能源（如煤炭、石油、天然气等）和二次能源（如石油制品、蒸汽、电力、煤气等）。能源的低位热值应以实测为准，固体燃料发热量按 GB/T 213 的规定，液体燃料发热量按 GB/T 384 的规定，若无条件实测，可采用本标准附录表A的数值，通过换算将热值折算为以标准煤为单位的数值。进行综合计算所得的能源消费量即为该医疗机构在统计报告期内的综合能耗。</w:t>
      </w:r>
    </w:p>
    <w:p>
      <w:pPr>
        <w:pStyle w:val="36"/>
        <w:rPr>
          <w:rFonts w:hint="eastAsia"/>
          <w:color w:val="000000"/>
        </w:rPr>
      </w:pPr>
      <w:r>
        <w:rPr>
          <w:rFonts w:hint="eastAsia"/>
          <w:color w:val="000000"/>
        </w:rPr>
        <w:t>医疗机构建筑能耗的统计范围</w:t>
      </w:r>
    </w:p>
    <w:p>
      <w:pPr>
        <w:pStyle w:val="20"/>
        <w:rPr>
          <w:rFonts w:hint="eastAsia"/>
          <w:color w:val="000000"/>
        </w:rPr>
      </w:pPr>
      <w:r>
        <w:rPr>
          <w:rFonts w:hint="eastAsia"/>
          <w:color w:val="000000"/>
        </w:rPr>
        <w:t>统计对象在统计报告期内，将从事诊断、医疗及其它保证上述活动过程中各类建筑实际消费的各种能源实物量，包括照明、采暖、空调、电梯、医疗设备、办公设备等的能耗。</w:t>
      </w:r>
    </w:p>
    <w:p>
      <w:pPr>
        <w:pStyle w:val="36"/>
        <w:rPr>
          <w:rFonts w:hint="eastAsia"/>
          <w:color w:val="000000"/>
        </w:rPr>
      </w:pPr>
      <w:r>
        <w:rPr>
          <w:rFonts w:hint="eastAsia"/>
          <w:color w:val="000000"/>
        </w:rPr>
        <w:t>医疗机构建筑面积的统计范围</w:t>
      </w:r>
    </w:p>
    <w:p>
      <w:pPr>
        <w:pStyle w:val="20"/>
        <w:rPr>
          <w:rFonts w:hint="eastAsia"/>
          <w:color w:val="000000"/>
        </w:rPr>
      </w:pPr>
      <w:r>
        <w:rPr>
          <w:rFonts w:hint="eastAsia"/>
          <w:color w:val="000000"/>
        </w:rPr>
        <w:t>统计对象所使用的全部建筑的建筑面积，按照GB/T 50353建筑工程建筑面积计算规范进行计算。但是，医疗机构职工住宅除外。在计算医疗机构建筑能耗时，计入医疗机构的建筑面积应与能源使用量的统计范围相一致，没有计入能源统计范畴的区域，该区域的建筑面积也需相应的从建筑面积的统计范围中去除。</w:t>
      </w:r>
    </w:p>
    <w:p>
      <w:pPr>
        <w:pStyle w:val="36"/>
        <w:rPr>
          <w:rFonts w:hint="eastAsia"/>
          <w:color w:val="000000"/>
        </w:rPr>
      </w:pPr>
      <w:r>
        <w:rPr>
          <w:rFonts w:hint="eastAsia"/>
          <w:color w:val="000000"/>
        </w:rPr>
        <w:t>医疗机构综合水耗的统计范围</w:t>
      </w:r>
    </w:p>
    <w:p>
      <w:pPr>
        <w:pStyle w:val="20"/>
        <w:rPr>
          <w:rFonts w:hint="eastAsia"/>
          <w:color w:val="000000"/>
        </w:rPr>
      </w:pPr>
      <w:r>
        <w:rPr>
          <w:rFonts w:hint="eastAsia"/>
          <w:color w:val="000000"/>
        </w:rPr>
        <w:t>统计对象在统计报告期内，在从事诊断、医疗及其它保证上述活动中的实际用水量。包括自来水、自备井供水、直饮水、桶装水等。</w:t>
      </w:r>
    </w:p>
    <w:p>
      <w:pPr>
        <w:pStyle w:val="39"/>
        <w:rPr>
          <w:color w:val="000000"/>
        </w:rPr>
      </w:pPr>
      <w:bookmarkStart w:id="34" w:name="_Toc415170129"/>
      <w:r>
        <w:rPr>
          <w:rFonts w:hint="eastAsia"/>
          <w:color w:val="000000"/>
        </w:rPr>
        <w:t>行政机关能源资源消费的计算方法</w:t>
      </w:r>
      <w:bookmarkEnd w:id="32"/>
      <w:bookmarkEnd w:id="33"/>
      <w:bookmarkEnd w:id="34"/>
    </w:p>
    <w:p>
      <w:pPr>
        <w:pStyle w:val="36"/>
        <w:rPr>
          <w:rFonts w:hint="eastAsia"/>
          <w:color w:val="000000"/>
        </w:rPr>
      </w:pPr>
      <w:r>
        <w:rPr>
          <w:rFonts w:hint="eastAsia"/>
          <w:color w:val="000000"/>
        </w:rPr>
        <w:t>医疗机构综合能耗的计算</w:t>
      </w:r>
    </w:p>
    <w:p>
      <w:pPr>
        <w:pStyle w:val="20"/>
        <w:rPr>
          <w:rFonts w:hint="eastAsia"/>
          <w:color w:val="000000"/>
        </w:rPr>
      </w:pPr>
      <w:r>
        <w:rPr>
          <w:rFonts w:hint="eastAsia"/>
          <w:color w:val="000000"/>
        </w:rPr>
        <w:t>在统计报告期内，医疗机构</w:t>
      </w:r>
      <w:r>
        <w:rPr>
          <w:rFonts w:hint="eastAsia" w:hAnsi="宋体"/>
          <w:color w:val="000000"/>
        </w:rPr>
        <w:t>在综合能耗统计范围内</w:t>
      </w:r>
      <w:r>
        <w:rPr>
          <w:rFonts w:hint="eastAsia"/>
          <w:color w:val="000000"/>
        </w:rPr>
        <w:t>实际消费的各类能源实物量与该类能源折算标准煤系数的乘积之和，按照公式（1）进行计算。</w:t>
      </w:r>
    </w:p>
    <w:p>
      <w:pPr>
        <w:pStyle w:val="118"/>
        <w:rPr>
          <w:color w:val="000000"/>
        </w:rPr>
      </w:pPr>
      <w:r>
        <w:rPr>
          <w:color w:val="000000"/>
        </w:rPr>
        <w:tab/>
      </w:r>
      <w:r>
        <w:rPr>
          <w:color w:val="000000"/>
          <w:position w:val="-28"/>
        </w:rPr>
        <w:object>
          <v:shape id="_x0000_i1025" o:spt="75" type="#_x0000_t75" style="height:34pt;width:77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r>
        <w:rPr>
          <w:color w:val="000000"/>
        </w:rPr>
        <w:tab/>
      </w:r>
      <w:r>
        <w:rPr>
          <w:color w:val="000000"/>
        </w:rPr>
        <w:t>(</w:t>
      </w:r>
      <w:r>
        <w:rPr>
          <w:color w:val="000000"/>
        </w:rPr>
        <w:fldChar w:fldCharType="begin"/>
      </w:r>
      <w:r>
        <w:rPr>
          <w:color w:val="000000"/>
        </w:rPr>
        <w:instrText xml:space="preserve"> SEQ 标准自动公式 \* ARABIC </w:instrText>
      </w:r>
      <w:r>
        <w:rPr>
          <w:color w:val="000000"/>
        </w:rPr>
        <w:fldChar w:fldCharType="separate"/>
      </w:r>
      <w:r>
        <w:rPr>
          <w:color w:val="000000"/>
        </w:rPr>
        <w:t>1</w:t>
      </w:r>
      <w:r>
        <w:rPr>
          <w:color w:val="000000"/>
        </w:rPr>
        <w:fldChar w:fldCharType="end"/>
      </w:r>
      <w:r>
        <w:rPr>
          <w:color w:val="000000"/>
        </w:rPr>
        <w:t>)</w:t>
      </w:r>
    </w:p>
    <w:p>
      <w:pPr>
        <w:pStyle w:val="20"/>
        <w:rPr>
          <w:rFonts w:hint="eastAsia"/>
          <w:color w:val="000000"/>
        </w:rPr>
      </w:pPr>
      <w:r>
        <w:rPr>
          <w:rFonts w:hint="eastAsia"/>
          <w:color w:val="000000"/>
        </w:rPr>
        <w:t>式中：</w:t>
      </w:r>
    </w:p>
    <w:p>
      <w:pPr>
        <w:pStyle w:val="20"/>
        <w:rPr>
          <w:rFonts w:hint="eastAsia"/>
          <w:color w:val="000000"/>
        </w:rPr>
      </w:pPr>
      <w:r>
        <w:rPr>
          <w:rFonts w:hint="eastAsia"/>
          <w:i/>
          <w:color w:val="000000"/>
        </w:rPr>
        <w:t>E</w:t>
      </w:r>
      <w:r>
        <w:rPr>
          <w:rFonts w:hint="eastAsia"/>
          <w:i/>
          <w:color w:val="000000"/>
          <w:vertAlign w:val="subscript"/>
        </w:rPr>
        <w:t xml:space="preserve"> </w:t>
      </w:r>
      <w:r>
        <w:rPr>
          <w:rFonts w:hint="eastAsia"/>
          <w:color w:val="000000"/>
        </w:rPr>
        <w:t xml:space="preserve"> ——综合能耗，单位为千克标准煤，kgce；</w:t>
      </w:r>
    </w:p>
    <w:p>
      <w:pPr>
        <w:pStyle w:val="20"/>
        <w:rPr>
          <w:rFonts w:hint="eastAsia"/>
          <w:color w:val="000000"/>
        </w:rPr>
      </w:pPr>
      <w:r>
        <w:rPr>
          <w:rFonts w:hint="eastAsia"/>
          <w:i/>
          <w:color w:val="000000"/>
        </w:rPr>
        <w:t>e</w:t>
      </w:r>
      <w:r>
        <w:rPr>
          <w:rFonts w:hint="eastAsia"/>
          <w:i/>
          <w:color w:val="000000"/>
          <w:vertAlign w:val="subscript"/>
        </w:rPr>
        <w:t>i</w:t>
      </w:r>
      <w:r>
        <w:rPr>
          <w:rFonts w:hint="eastAsia"/>
          <w:color w:val="000000"/>
        </w:rPr>
        <w:t xml:space="preserve"> ——消费的第i种能源实物量，单位为各实物量的单位；</w:t>
      </w:r>
    </w:p>
    <w:p>
      <w:pPr>
        <w:pStyle w:val="20"/>
        <w:rPr>
          <w:rFonts w:hint="eastAsia"/>
          <w:color w:val="000000"/>
        </w:rPr>
      </w:pPr>
      <w:r>
        <w:rPr>
          <w:rFonts w:hint="eastAsia"/>
          <w:i/>
          <w:color w:val="000000"/>
        </w:rPr>
        <w:t>P</w:t>
      </w:r>
      <w:r>
        <w:rPr>
          <w:rFonts w:hint="eastAsia"/>
          <w:i/>
          <w:color w:val="000000"/>
          <w:vertAlign w:val="subscript"/>
        </w:rPr>
        <w:t>i</w:t>
      </w:r>
      <w:r>
        <w:rPr>
          <w:rFonts w:hint="eastAsia"/>
          <w:color w:val="000000"/>
        </w:rPr>
        <w:t xml:space="preserve"> ——第i类能源折算标准煤系数；</w:t>
      </w:r>
    </w:p>
    <w:p>
      <w:pPr>
        <w:pStyle w:val="20"/>
        <w:rPr>
          <w:rFonts w:hint="eastAsia"/>
          <w:color w:val="000000"/>
        </w:rPr>
      </w:pPr>
      <w:r>
        <w:rPr>
          <w:rFonts w:hint="eastAsia"/>
          <w:i/>
          <w:color w:val="000000"/>
        </w:rPr>
        <w:t>n</w:t>
      </w:r>
      <w:r>
        <w:rPr>
          <w:rFonts w:hint="eastAsia"/>
          <w:i/>
          <w:color w:val="000000"/>
          <w:vertAlign w:val="subscript"/>
        </w:rPr>
        <w:t xml:space="preserve"> </w:t>
      </w:r>
      <w:r>
        <w:rPr>
          <w:rFonts w:hint="eastAsia"/>
          <w:color w:val="000000"/>
        </w:rPr>
        <w:t xml:space="preserve"> ——消费的能源种数。</w:t>
      </w:r>
    </w:p>
    <w:p>
      <w:pPr>
        <w:pStyle w:val="36"/>
        <w:rPr>
          <w:rFonts w:hint="eastAsia"/>
          <w:color w:val="000000"/>
        </w:rPr>
      </w:pPr>
      <w:r>
        <w:rPr>
          <w:rFonts w:hint="eastAsia"/>
          <w:color w:val="000000"/>
        </w:rPr>
        <w:t>医疗机构建筑能耗的计算</w:t>
      </w:r>
    </w:p>
    <w:p>
      <w:pPr>
        <w:pStyle w:val="20"/>
        <w:rPr>
          <w:rFonts w:hint="eastAsia"/>
          <w:color w:val="000000"/>
        </w:rPr>
      </w:pPr>
      <w:r>
        <w:rPr>
          <w:rFonts w:hint="eastAsia"/>
          <w:color w:val="000000"/>
        </w:rPr>
        <w:t>在统计报告期内，医疗机构建筑能耗统计范围内</w:t>
      </w:r>
      <w:r>
        <w:rPr>
          <w:rFonts w:hAnsi="宋体"/>
          <w:color w:val="000000"/>
        </w:rPr>
        <w:t>实际消费的各种能源实物量</w:t>
      </w:r>
      <w:r>
        <w:rPr>
          <w:rFonts w:hint="eastAsia" w:hAnsi="宋体"/>
          <w:color w:val="000000"/>
          <w:kern w:val="2"/>
          <w:szCs w:val="24"/>
        </w:rPr>
        <w:t>与该类能源折算标准煤系数（见附录A）的乘积之和</w:t>
      </w:r>
      <w:r>
        <w:rPr>
          <w:rFonts w:hint="eastAsia"/>
          <w:color w:val="000000"/>
        </w:rPr>
        <w:t>，按照公式（2）进行计算。</w:t>
      </w:r>
    </w:p>
    <w:p>
      <w:pPr>
        <w:pStyle w:val="118"/>
        <w:rPr>
          <w:color w:val="000000"/>
        </w:rPr>
      </w:pPr>
      <w:r>
        <w:rPr>
          <w:color w:val="000000"/>
        </w:rPr>
        <w:tab/>
      </w:r>
      <w:r>
        <w:rPr>
          <w:color w:val="000000"/>
          <w:position w:val="-28"/>
        </w:rPr>
        <w:object>
          <v:shape id="_x0000_i1026" o:spt="75" type="#_x0000_t75" style="height:34pt;width:84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6" r:id="rId8">
            <o:LockedField>false</o:LockedField>
          </o:OLEObject>
        </w:object>
      </w:r>
      <w:r>
        <w:rPr>
          <w:color w:val="000000"/>
        </w:rPr>
        <w:tab/>
      </w:r>
      <w:r>
        <w:rPr>
          <w:color w:val="000000"/>
        </w:rPr>
        <w:t>(</w:t>
      </w:r>
      <w:r>
        <w:rPr>
          <w:color w:val="000000"/>
        </w:rPr>
        <w:fldChar w:fldCharType="begin"/>
      </w:r>
      <w:r>
        <w:rPr>
          <w:color w:val="000000"/>
        </w:rPr>
        <w:instrText xml:space="preserve"> SEQ 标准自动公式 \* ARABIC </w:instrText>
      </w:r>
      <w:r>
        <w:rPr>
          <w:color w:val="000000"/>
        </w:rPr>
        <w:fldChar w:fldCharType="separate"/>
      </w:r>
      <w:r>
        <w:rPr>
          <w:color w:val="000000"/>
        </w:rPr>
        <w:t>2</w:t>
      </w:r>
      <w:r>
        <w:rPr>
          <w:color w:val="000000"/>
        </w:rPr>
        <w:fldChar w:fldCharType="end"/>
      </w:r>
      <w:r>
        <w:rPr>
          <w:color w:val="000000"/>
        </w:rPr>
        <w:t>)</w:t>
      </w:r>
    </w:p>
    <w:p>
      <w:pPr>
        <w:pStyle w:val="20"/>
        <w:rPr>
          <w:rFonts w:hint="eastAsia"/>
          <w:color w:val="000000"/>
        </w:rPr>
      </w:pPr>
      <w:r>
        <w:rPr>
          <w:rFonts w:hint="eastAsia"/>
          <w:color w:val="000000"/>
        </w:rPr>
        <w:t>式中：</w:t>
      </w:r>
    </w:p>
    <w:p>
      <w:pPr>
        <w:pStyle w:val="20"/>
        <w:rPr>
          <w:rFonts w:hint="eastAsia"/>
          <w:color w:val="000000"/>
        </w:rPr>
      </w:pPr>
      <w:r>
        <w:rPr>
          <w:rFonts w:hint="eastAsia"/>
          <w:i/>
          <w:color w:val="000000"/>
        </w:rPr>
        <w:t>E</w:t>
      </w:r>
      <w:r>
        <w:rPr>
          <w:rFonts w:hint="eastAsia"/>
          <w:i/>
          <w:color w:val="000000"/>
          <w:vertAlign w:val="subscript"/>
        </w:rPr>
        <w:t>J</w:t>
      </w:r>
      <w:r>
        <w:rPr>
          <w:rFonts w:hint="eastAsia"/>
          <w:color w:val="000000"/>
        </w:rPr>
        <w:t xml:space="preserve"> ——建筑能耗，单位为千克标准煤，kgce；</w:t>
      </w:r>
    </w:p>
    <w:p>
      <w:pPr>
        <w:pStyle w:val="20"/>
        <w:rPr>
          <w:rFonts w:hint="eastAsia"/>
          <w:color w:val="000000"/>
        </w:rPr>
      </w:pPr>
      <w:r>
        <w:rPr>
          <w:rFonts w:hint="eastAsia"/>
          <w:i/>
          <w:color w:val="000000"/>
        </w:rPr>
        <w:t>E</w:t>
      </w:r>
      <w:r>
        <w:rPr>
          <w:rFonts w:hint="eastAsia"/>
          <w:i/>
          <w:color w:val="000000"/>
          <w:vertAlign w:val="subscript"/>
        </w:rPr>
        <w:t>k</w:t>
      </w:r>
      <w:r>
        <w:rPr>
          <w:rFonts w:hint="eastAsia"/>
          <w:color w:val="000000"/>
        </w:rPr>
        <w:t xml:space="preserve"> ——消费的第k种能源实物量，单位为各实物量的单位；</w:t>
      </w:r>
    </w:p>
    <w:p>
      <w:pPr>
        <w:pStyle w:val="20"/>
        <w:rPr>
          <w:rFonts w:hint="eastAsia"/>
          <w:color w:val="000000"/>
        </w:rPr>
      </w:pPr>
      <w:r>
        <w:rPr>
          <w:rFonts w:hint="eastAsia"/>
          <w:i/>
          <w:color w:val="000000"/>
        </w:rPr>
        <w:t>P</w:t>
      </w:r>
      <w:r>
        <w:rPr>
          <w:rFonts w:hint="eastAsia"/>
          <w:i/>
          <w:color w:val="000000"/>
          <w:vertAlign w:val="subscript"/>
        </w:rPr>
        <w:t>k</w:t>
      </w:r>
      <w:r>
        <w:rPr>
          <w:rFonts w:hint="eastAsia"/>
          <w:color w:val="000000"/>
        </w:rPr>
        <w:t xml:space="preserve"> ——第k类能源折算标准煤系数；</w:t>
      </w:r>
    </w:p>
    <w:p>
      <w:pPr>
        <w:pStyle w:val="20"/>
        <w:rPr>
          <w:rFonts w:hint="eastAsia"/>
          <w:color w:val="000000"/>
        </w:rPr>
      </w:pPr>
      <w:r>
        <w:rPr>
          <w:rFonts w:hint="eastAsia"/>
          <w:i/>
          <w:color w:val="000000"/>
        </w:rPr>
        <w:t>n</w:t>
      </w:r>
      <w:r>
        <w:rPr>
          <w:rFonts w:hint="eastAsia"/>
          <w:i/>
          <w:color w:val="000000"/>
          <w:vertAlign w:val="subscript"/>
        </w:rPr>
        <w:t xml:space="preserve"> </w:t>
      </w:r>
      <w:r>
        <w:rPr>
          <w:rFonts w:hint="eastAsia"/>
          <w:color w:val="000000"/>
        </w:rPr>
        <w:t xml:space="preserve"> ——消费的能源种数。</w:t>
      </w:r>
    </w:p>
    <w:p>
      <w:pPr>
        <w:pStyle w:val="36"/>
        <w:rPr>
          <w:rFonts w:hint="eastAsia"/>
          <w:color w:val="000000"/>
        </w:rPr>
      </w:pPr>
      <w:r>
        <w:rPr>
          <w:rFonts w:hint="eastAsia"/>
          <w:color w:val="000000"/>
        </w:rPr>
        <w:t>医疗机构单位面积建筑能耗的计算</w:t>
      </w:r>
    </w:p>
    <w:p>
      <w:pPr>
        <w:pStyle w:val="20"/>
        <w:rPr>
          <w:rFonts w:hint="eastAsia"/>
          <w:color w:val="000000"/>
        </w:rPr>
      </w:pPr>
      <w:r>
        <w:rPr>
          <w:rFonts w:hint="eastAsia"/>
          <w:color w:val="000000"/>
        </w:rPr>
        <w:t>在统计报告期内，医疗机构统计范围内的建筑能耗量与其总建筑面积数量的比值，按照公式（3）进行计算。</w:t>
      </w:r>
    </w:p>
    <w:p>
      <w:pPr>
        <w:pStyle w:val="118"/>
        <w:rPr>
          <w:color w:val="000000"/>
        </w:rPr>
      </w:pPr>
      <w:r>
        <w:rPr>
          <w:color w:val="000000"/>
        </w:rPr>
        <w:tab/>
      </w:r>
      <w:r>
        <w:rPr>
          <w:color w:val="000000"/>
          <w:position w:val="-24"/>
        </w:rPr>
        <w:object>
          <v:shape id="_x0000_i1027" o:spt="75" type="#_x0000_t75" style="height:31.95pt;width:49.95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27" r:id="rId10">
            <o:LockedField>false</o:LockedField>
          </o:OLEObject>
        </w:object>
      </w:r>
      <w:r>
        <w:rPr>
          <w:color w:val="000000"/>
        </w:rPr>
        <w:tab/>
      </w:r>
      <w:r>
        <w:rPr>
          <w:color w:val="000000"/>
        </w:rPr>
        <w:t>(</w:t>
      </w:r>
      <w:r>
        <w:rPr>
          <w:color w:val="000000"/>
        </w:rPr>
        <w:fldChar w:fldCharType="begin"/>
      </w:r>
      <w:r>
        <w:rPr>
          <w:color w:val="000000"/>
        </w:rPr>
        <w:instrText xml:space="preserve"> SEQ 标准自动公式 \* ARABIC </w:instrText>
      </w:r>
      <w:r>
        <w:rPr>
          <w:color w:val="000000"/>
        </w:rPr>
        <w:fldChar w:fldCharType="separate"/>
      </w:r>
      <w:r>
        <w:rPr>
          <w:color w:val="000000"/>
        </w:rPr>
        <w:t>3</w:t>
      </w:r>
      <w:r>
        <w:rPr>
          <w:color w:val="000000"/>
        </w:rPr>
        <w:fldChar w:fldCharType="end"/>
      </w:r>
      <w:r>
        <w:rPr>
          <w:color w:val="000000"/>
        </w:rPr>
        <w:t>)</w:t>
      </w:r>
    </w:p>
    <w:p>
      <w:pPr>
        <w:pStyle w:val="20"/>
        <w:rPr>
          <w:rFonts w:hint="eastAsia"/>
          <w:color w:val="000000"/>
        </w:rPr>
      </w:pPr>
      <w:r>
        <w:rPr>
          <w:rFonts w:hint="eastAsia"/>
          <w:color w:val="000000"/>
        </w:rPr>
        <w:t>式中：</w:t>
      </w:r>
    </w:p>
    <w:p>
      <w:pPr>
        <w:pStyle w:val="20"/>
        <w:rPr>
          <w:rFonts w:hint="eastAsia"/>
          <w:color w:val="000000"/>
        </w:rPr>
      </w:pPr>
      <w:r>
        <w:rPr>
          <w:rFonts w:hint="eastAsia"/>
          <w:i/>
          <w:color w:val="000000"/>
        </w:rPr>
        <w:t>E</w:t>
      </w:r>
      <w:r>
        <w:rPr>
          <w:rFonts w:hint="eastAsia"/>
          <w:i/>
          <w:color w:val="000000"/>
          <w:vertAlign w:val="subscript"/>
        </w:rPr>
        <w:t>jn</w:t>
      </w:r>
      <w:r>
        <w:rPr>
          <w:rFonts w:hint="eastAsia"/>
          <w:color w:val="000000"/>
        </w:rPr>
        <w:t xml:space="preserve"> ——单位面积建筑能耗，单位为千克标准煤每平方米每年，kgce/m</w:t>
      </w:r>
      <w:r>
        <w:rPr>
          <w:rFonts w:hint="eastAsia"/>
          <w:color w:val="000000"/>
          <w:vertAlign w:val="superscript"/>
        </w:rPr>
        <w:t>2</w:t>
      </w:r>
      <w:r>
        <w:rPr>
          <w:rFonts w:hint="eastAsia"/>
          <w:color w:val="000000"/>
        </w:rPr>
        <w:t>·a</w:t>
      </w:r>
    </w:p>
    <w:p>
      <w:pPr>
        <w:pStyle w:val="20"/>
        <w:rPr>
          <w:rFonts w:hint="eastAsia"/>
          <w:color w:val="000000"/>
        </w:rPr>
      </w:pPr>
      <w:r>
        <w:rPr>
          <w:rFonts w:hint="eastAsia"/>
          <w:i/>
          <w:color w:val="000000"/>
        </w:rPr>
        <w:t>E</w:t>
      </w:r>
      <w:r>
        <w:rPr>
          <w:rFonts w:hint="eastAsia"/>
          <w:i/>
          <w:color w:val="000000"/>
          <w:vertAlign w:val="subscript"/>
        </w:rPr>
        <w:t>J</w:t>
      </w:r>
      <w:r>
        <w:rPr>
          <w:rFonts w:hint="eastAsia"/>
          <w:color w:val="000000"/>
          <w:vertAlign w:val="subscript"/>
        </w:rPr>
        <w:t xml:space="preserve"> </w:t>
      </w:r>
      <w:r>
        <w:rPr>
          <w:rFonts w:hint="eastAsia"/>
          <w:color w:val="000000"/>
        </w:rPr>
        <w:t xml:space="preserve"> ——建筑能耗，单位为千克标准煤，kgce；</w:t>
      </w:r>
    </w:p>
    <w:p>
      <w:pPr>
        <w:pStyle w:val="20"/>
        <w:rPr>
          <w:rFonts w:hint="eastAsia"/>
          <w:color w:val="000000"/>
        </w:rPr>
      </w:pPr>
      <w:r>
        <w:rPr>
          <w:rFonts w:hint="eastAsia"/>
          <w:i/>
          <w:color w:val="000000"/>
        </w:rPr>
        <w:t>M</w:t>
      </w:r>
      <w:r>
        <w:rPr>
          <w:rFonts w:hint="eastAsia"/>
          <w:i/>
          <w:color w:val="000000"/>
          <w:vertAlign w:val="subscript"/>
        </w:rPr>
        <w:t xml:space="preserve">  </w:t>
      </w:r>
      <w:r>
        <w:rPr>
          <w:rFonts w:hint="eastAsia"/>
          <w:color w:val="000000"/>
        </w:rPr>
        <w:t xml:space="preserve"> ——建筑面积，单位为平方米，m</w:t>
      </w:r>
      <w:r>
        <w:rPr>
          <w:rFonts w:hint="eastAsia"/>
          <w:color w:val="000000"/>
          <w:vertAlign w:val="superscript"/>
        </w:rPr>
        <w:t>2</w:t>
      </w:r>
      <w:r>
        <w:rPr>
          <w:rFonts w:hint="eastAsia"/>
          <w:color w:val="000000"/>
        </w:rPr>
        <w:t>。</w:t>
      </w:r>
    </w:p>
    <w:p>
      <w:pPr>
        <w:pStyle w:val="36"/>
        <w:rPr>
          <w:rFonts w:hint="eastAsia"/>
          <w:color w:val="000000"/>
        </w:rPr>
      </w:pPr>
      <w:r>
        <w:rPr>
          <w:rFonts w:hint="eastAsia"/>
          <w:color w:val="000000"/>
        </w:rPr>
        <w:t>医疗机构床均综合能耗的计算</w:t>
      </w:r>
    </w:p>
    <w:p>
      <w:pPr>
        <w:pStyle w:val="20"/>
        <w:rPr>
          <w:rFonts w:hint="eastAsia"/>
          <w:color w:val="000000"/>
        </w:rPr>
      </w:pPr>
      <w:r>
        <w:rPr>
          <w:rFonts w:hint="eastAsia"/>
          <w:color w:val="000000"/>
        </w:rPr>
        <w:t>在统计报告期内，医疗机构综合能耗量与床位数的比值，按照公式（4）计算。</w:t>
      </w:r>
    </w:p>
    <w:p>
      <w:pPr>
        <w:pStyle w:val="118"/>
        <w:jc w:val="center"/>
        <w:rPr>
          <w:color w:val="000000"/>
        </w:rPr>
      </w:pPr>
      <w:r>
        <w:rPr>
          <w:color w:val="000000"/>
        </w:rPr>
        <w:tab/>
      </w:r>
      <w:r>
        <w:rPr>
          <w:color w:val="000000"/>
          <w:position w:val="-24"/>
        </w:rPr>
        <w:object>
          <v:shape id="_x0000_i1028" o:spt="75" type="#_x0000_t75" style="height:31pt;width:45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8" DrawAspect="Content" ObjectID="_1468075728" r:id="rId12">
            <o:LockedField>false</o:LockedField>
          </o:OLEObject>
        </w:object>
      </w:r>
      <w:r>
        <w:rPr>
          <w:color w:val="000000"/>
        </w:rPr>
        <w:tab/>
      </w:r>
      <w:r>
        <w:rPr>
          <w:color w:val="000000"/>
        </w:rPr>
        <w:t>(</w:t>
      </w:r>
      <w:r>
        <w:rPr>
          <w:color w:val="000000"/>
        </w:rPr>
        <w:fldChar w:fldCharType="begin"/>
      </w:r>
      <w:r>
        <w:rPr>
          <w:color w:val="000000"/>
        </w:rPr>
        <w:instrText xml:space="preserve"> SEQ 标准自动公式 \* ARABIC </w:instrText>
      </w:r>
      <w:r>
        <w:rPr>
          <w:color w:val="000000"/>
        </w:rPr>
        <w:fldChar w:fldCharType="separate"/>
      </w:r>
      <w:r>
        <w:rPr>
          <w:color w:val="000000"/>
        </w:rPr>
        <w:t>4</w:t>
      </w:r>
      <w:r>
        <w:rPr>
          <w:color w:val="000000"/>
        </w:rPr>
        <w:fldChar w:fldCharType="end"/>
      </w:r>
      <w:r>
        <w:rPr>
          <w:color w:val="000000"/>
        </w:rPr>
        <w:t>)</w:t>
      </w:r>
    </w:p>
    <w:p>
      <w:pPr>
        <w:pStyle w:val="20"/>
        <w:rPr>
          <w:rFonts w:hint="eastAsia"/>
          <w:color w:val="000000"/>
        </w:rPr>
      </w:pPr>
      <w:r>
        <w:rPr>
          <w:rFonts w:hint="eastAsia"/>
          <w:color w:val="000000"/>
        </w:rPr>
        <w:t>式中：</w:t>
      </w:r>
    </w:p>
    <w:p>
      <w:pPr>
        <w:pStyle w:val="20"/>
        <w:rPr>
          <w:rFonts w:hint="eastAsia"/>
          <w:color w:val="000000"/>
        </w:rPr>
      </w:pPr>
      <w:r>
        <w:rPr>
          <w:rFonts w:hint="eastAsia"/>
          <w:i/>
          <w:color w:val="000000"/>
        </w:rPr>
        <w:t>E</w:t>
      </w:r>
      <w:r>
        <w:rPr>
          <w:rFonts w:hint="eastAsia"/>
          <w:i/>
          <w:color w:val="000000"/>
          <w:vertAlign w:val="subscript"/>
        </w:rPr>
        <w:t>cn</w:t>
      </w:r>
      <w:r>
        <w:rPr>
          <w:rFonts w:hint="eastAsia"/>
          <w:color w:val="000000"/>
        </w:rPr>
        <w:t xml:space="preserve"> ——床均综合能耗，单位为千克标准煤每床每年，kgce/hb·a；</w:t>
      </w:r>
    </w:p>
    <w:p>
      <w:pPr>
        <w:pStyle w:val="20"/>
        <w:rPr>
          <w:rFonts w:hint="eastAsia"/>
          <w:color w:val="000000"/>
        </w:rPr>
      </w:pPr>
      <w:r>
        <w:rPr>
          <w:rFonts w:hint="eastAsia"/>
          <w:i/>
          <w:color w:val="000000"/>
        </w:rPr>
        <w:t>E</w:t>
      </w:r>
      <w:r>
        <w:rPr>
          <w:rFonts w:hint="eastAsia"/>
          <w:i/>
          <w:color w:val="000000"/>
          <w:vertAlign w:val="subscript"/>
        </w:rPr>
        <w:t xml:space="preserve">  </w:t>
      </w:r>
      <w:r>
        <w:rPr>
          <w:rFonts w:hint="eastAsia"/>
          <w:color w:val="000000"/>
        </w:rPr>
        <w:t xml:space="preserve"> ——综合能耗，单位为千克标准煤，kgce；</w:t>
      </w:r>
    </w:p>
    <w:p>
      <w:pPr>
        <w:pStyle w:val="20"/>
        <w:rPr>
          <w:rFonts w:hint="eastAsia"/>
          <w:color w:val="000000"/>
        </w:rPr>
      </w:pPr>
      <w:r>
        <w:rPr>
          <w:rFonts w:hint="eastAsia"/>
          <w:i/>
          <w:color w:val="000000"/>
        </w:rPr>
        <w:t>N</w:t>
      </w:r>
      <w:r>
        <w:rPr>
          <w:rFonts w:hint="eastAsia"/>
          <w:i/>
          <w:color w:val="000000"/>
          <w:vertAlign w:val="subscript"/>
        </w:rPr>
        <w:t xml:space="preserve">  </w:t>
      </w:r>
      <w:r>
        <w:rPr>
          <w:rFonts w:hint="eastAsia"/>
          <w:color w:val="000000"/>
        </w:rPr>
        <w:t xml:space="preserve"> ——床位数。</w:t>
      </w:r>
    </w:p>
    <w:p>
      <w:pPr>
        <w:pStyle w:val="36"/>
        <w:rPr>
          <w:rFonts w:hint="eastAsia"/>
          <w:color w:val="000000"/>
        </w:rPr>
      </w:pPr>
      <w:r>
        <w:rPr>
          <w:rFonts w:hint="eastAsia"/>
          <w:color w:val="000000"/>
        </w:rPr>
        <w:t>医疗机构床均综合水耗的计算</w:t>
      </w:r>
    </w:p>
    <w:p>
      <w:pPr>
        <w:pStyle w:val="20"/>
        <w:rPr>
          <w:rFonts w:hint="eastAsia"/>
          <w:color w:val="000000"/>
        </w:rPr>
      </w:pPr>
      <w:r>
        <w:rPr>
          <w:rFonts w:hint="eastAsia"/>
          <w:color w:val="000000"/>
        </w:rPr>
        <w:t>在统计报告期内</w:t>
      </w:r>
      <w:r>
        <w:rPr>
          <w:rFonts w:hint="eastAsia" w:hAnsi="宋体"/>
          <w:color w:val="000000"/>
          <w:kern w:val="2"/>
          <w:szCs w:val="24"/>
        </w:rPr>
        <w:t>，医疗机构统计范围内</w:t>
      </w:r>
      <w:r>
        <w:rPr>
          <w:rFonts w:hint="eastAsia"/>
          <w:color w:val="000000"/>
        </w:rPr>
        <w:t>的总水耗量与床位数的比值，按照公式（5）进行计算。</w:t>
      </w:r>
    </w:p>
    <w:p>
      <w:pPr>
        <w:pStyle w:val="118"/>
        <w:rPr>
          <w:color w:val="000000"/>
        </w:rPr>
      </w:pPr>
      <w:r>
        <w:rPr>
          <w:color w:val="000000"/>
        </w:rPr>
        <w:tab/>
      </w:r>
      <w:r>
        <w:rPr>
          <w:color w:val="000000"/>
          <w:position w:val="-24"/>
        </w:rPr>
        <w:object>
          <v:shape id="_x0000_i1029" o:spt="75" type="#_x0000_t75" style="height:31.95pt;width:45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29" DrawAspect="Content" ObjectID="_1468075729" r:id="rId14">
            <o:LockedField>false</o:LockedField>
          </o:OLEObject>
        </w:object>
      </w:r>
      <w:r>
        <w:rPr>
          <w:color w:val="000000"/>
        </w:rPr>
        <w:tab/>
      </w:r>
      <w:r>
        <w:rPr>
          <w:color w:val="000000"/>
        </w:rPr>
        <w:t>(</w:t>
      </w:r>
      <w:r>
        <w:rPr>
          <w:color w:val="000000"/>
        </w:rPr>
        <w:fldChar w:fldCharType="begin"/>
      </w:r>
      <w:r>
        <w:rPr>
          <w:color w:val="000000"/>
        </w:rPr>
        <w:instrText xml:space="preserve"> SEQ 标准自动公式 \* ARABIC </w:instrText>
      </w:r>
      <w:r>
        <w:rPr>
          <w:color w:val="000000"/>
        </w:rPr>
        <w:fldChar w:fldCharType="separate"/>
      </w:r>
      <w:r>
        <w:rPr>
          <w:color w:val="000000"/>
        </w:rPr>
        <w:t>5</w:t>
      </w:r>
      <w:r>
        <w:rPr>
          <w:color w:val="000000"/>
        </w:rPr>
        <w:fldChar w:fldCharType="end"/>
      </w:r>
      <w:r>
        <w:rPr>
          <w:color w:val="000000"/>
        </w:rPr>
        <w:t>)</w:t>
      </w:r>
    </w:p>
    <w:p>
      <w:pPr>
        <w:pStyle w:val="20"/>
        <w:rPr>
          <w:rFonts w:hint="eastAsia"/>
          <w:color w:val="000000"/>
        </w:rPr>
      </w:pPr>
      <w:r>
        <w:rPr>
          <w:rFonts w:hint="eastAsia"/>
          <w:color w:val="000000"/>
        </w:rPr>
        <w:t>式中：</w:t>
      </w:r>
    </w:p>
    <w:p>
      <w:pPr>
        <w:pStyle w:val="20"/>
        <w:rPr>
          <w:rFonts w:hint="eastAsia"/>
          <w:color w:val="000000"/>
        </w:rPr>
      </w:pPr>
      <w:r>
        <w:rPr>
          <w:rFonts w:hint="eastAsia"/>
          <w:i/>
          <w:color w:val="000000"/>
        </w:rPr>
        <w:t>V</w:t>
      </w:r>
      <w:r>
        <w:rPr>
          <w:rFonts w:hint="eastAsia"/>
          <w:i/>
          <w:color w:val="000000"/>
          <w:vertAlign w:val="subscript"/>
        </w:rPr>
        <w:t>cs</w:t>
      </w:r>
      <w:r>
        <w:rPr>
          <w:rFonts w:hint="eastAsia"/>
          <w:color w:val="000000"/>
        </w:rPr>
        <w:t xml:space="preserve"> ——床均水耗，单位为立方米每床每年，m</w:t>
      </w:r>
      <w:r>
        <w:rPr>
          <w:rFonts w:hint="eastAsia"/>
          <w:color w:val="000000"/>
          <w:vertAlign w:val="superscript"/>
        </w:rPr>
        <w:t>3</w:t>
      </w:r>
      <w:r>
        <w:rPr>
          <w:rFonts w:hint="eastAsia"/>
          <w:color w:val="000000"/>
        </w:rPr>
        <w:t>/hb·a；</w:t>
      </w:r>
    </w:p>
    <w:p>
      <w:pPr>
        <w:pStyle w:val="20"/>
        <w:rPr>
          <w:rFonts w:hint="eastAsia"/>
          <w:color w:val="000000"/>
        </w:rPr>
      </w:pPr>
      <w:r>
        <w:rPr>
          <w:rFonts w:hint="eastAsia"/>
          <w:i/>
          <w:color w:val="000000"/>
        </w:rPr>
        <w:t>V</w:t>
      </w:r>
      <w:r>
        <w:rPr>
          <w:rFonts w:hint="eastAsia"/>
          <w:i/>
          <w:color w:val="000000"/>
          <w:vertAlign w:val="subscript"/>
        </w:rPr>
        <w:t xml:space="preserve">S </w:t>
      </w:r>
      <w:r>
        <w:rPr>
          <w:rFonts w:hint="eastAsia"/>
          <w:color w:val="000000"/>
        </w:rPr>
        <w:t xml:space="preserve"> ——综合水耗，单位为立方米，m</w:t>
      </w:r>
      <w:r>
        <w:rPr>
          <w:rFonts w:hint="eastAsia"/>
          <w:color w:val="000000"/>
          <w:vertAlign w:val="superscript"/>
        </w:rPr>
        <w:t>3</w:t>
      </w:r>
      <w:r>
        <w:rPr>
          <w:rFonts w:hint="eastAsia"/>
          <w:color w:val="000000"/>
        </w:rPr>
        <w:t>；</w:t>
      </w:r>
    </w:p>
    <w:p>
      <w:pPr>
        <w:pStyle w:val="20"/>
        <w:rPr>
          <w:rFonts w:hint="eastAsia"/>
          <w:color w:val="000000"/>
        </w:rPr>
      </w:pPr>
      <w:r>
        <w:rPr>
          <w:rFonts w:hint="eastAsia"/>
          <w:i/>
          <w:color w:val="000000"/>
        </w:rPr>
        <w:t>N</w:t>
      </w:r>
      <w:r>
        <w:rPr>
          <w:rFonts w:hint="eastAsia"/>
          <w:i/>
          <w:color w:val="000000"/>
          <w:vertAlign w:val="subscript"/>
        </w:rPr>
        <w:t xml:space="preserve">  </w:t>
      </w:r>
      <w:r>
        <w:rPr>
          <w:rFonts w:hint="eastAsia"/>
          <w:color w:val="000000"/>
        </w:rPr>
        <w:t xml:space="preserve"> ——床位数。</w:t>
      </w:r>
    </w:p>
    <w:p>
      <w:pPr>
        <w:pStyle w:val="39"/>
        <w:rPr>
          <w:rFonts w:hint="eastAsia"/>
          <w:color w:val="000000"/>
        </w:rPr>
      </w:pPr>
      <w:bookmarkStart w:id="35" w:name="_Toc411435939"/>
      <w:bookmarkStart w:id="36" w:name="_Toc415170130"/>
      <w:r>
        <w:rPr>
          <w:rFonts w:hint="eastAsia"/>
          <w:color w:val="000000"/>
        </w:rPr>
        <w:t>医疗机构能源资源消费定额</w:t>
      </w:r>
      <w:bookmarkEnd w:id="35"/>
      <w:bookmarkEnd w:id="36"/>
    </w:p>
    <w:p>
      <w:pPr>
        <w:pStyle w:val="20"/>
        <w:rPr>
          <w:rFonts w:hint="eastAsia"/>
          <w:color w:val="000000"/>
        </w:rPr>
      </w:pPr>
      <w:r>
        <w:rPr>
          <w:rFonts w:hint="eastAsia"/>
          <w:color w:val="000000"/>
        </w:rPr>
        <w:t>依据医疗机构所属类型、等级（或规模）以及建筑热工性能、车辆性能、医疗设备性能等的不同，在统计报告期内，医疗机构能源资源消费定额见表1，使用说明见附录B。</w:t>
      </w:r>
    </w:p>
    <w:p>
      <w:pPr>
        <w:pStyle w:val="117"/>
        <w:rPr>
          <w:rFonts w:hint="eastAsia"/>
          <w:color w:val="000000"/>
        </w:rPr>
      </w:pPr>
      <w:r>
        <w:rPr>
          <w:rFonts w:hint="eastAsia"/>
          <w:color w:val="000000"/>
        </w:rPr>
        <w:t>医疗机构能源资源消费定额</w:t>
      </w:r>
    </w:p>
    <w:tbl>
      <w:tblPr>
        <w:tblStyle w:val="3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440"/>
        <w:gridCol w:w="2571"/>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Merge w:val="restart"/>
            <w:vAlign w:val="center"/>
          </w:tcPr>
          <w:p>
            <w:pPr>
              <w:jc w:val="center"/>
              <w:rPr>
                <w:rFonts w:hint="eastAsia" w:ascii="宋体" w:hAnsi="宋体"/>
                <w:color w:val="000000"/>
                <w:sz w:val="18"/>
                <w:szCs w:val="18"/>
              </w:rPr>
            </w:pPr>
            <w:r>
              <w:rPr>
                <w:rFonts w:hint="eastAsia" w:ascii="宋体" w:hAnsi="宋体"/>
                <w:color w:val="000000"/>
                <w:sz w:val="18"/>
                <w:szCs w:val="18"/>
              </w:rPr>
              <w:t>能源资源消费指标</w:t>
            </w:r>
          </w:p>
        </w:tc>
        <w:tc>
          <w:tcPr>
            <w:tcW w:w="7193" w:type="dxa"/>
            <w:gridSpan w:val="3"/>
            <w:vAlign w:val="center"/>
          </w:tcPr>
          <w:p>
            <w:pPr>
              <w:jc w:val="center"/>
              <w:rPr>
                <w:rFonts w:hint="eastAsia" w:ascii="宋体" w:hAnsi="宋体"/>
                <w:color w:val="000000"/>
                <w:sz w:val="18"/>
                <w:szCs w:val="18"/>
              </w:rPr>
            </w:pPr>
            <w:r>
              <w:rPr>
                <w:rFonts w:hint="eastAsia" w:ascii="宋体" w:hAnsi="宋体"/>
                <w:color w:val="000000"/>
                <w:sz w:val="18"/>
                <w:szCs w:val="18"/>
              </w:rPr>
              <w:t>定额值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Merge w:val="continue"/>
            <w:vAlign w:val="center"/>
          </w:tcPr>
          <w:p>
            <w:pPr>
              <w:jc w:val="center"/>
              <w:rPr>
                <w:rFonts w:hint="eastAsia" w:ascii="宋体" w:hAnsi="宋体"/>
                <w:color w:val="000000"/>
                <w:sz w:val="18"/>
                <w:szCs w:val="18"/>
              </w:rPr>
            </w:pPr>
          </w:p>
        </w:tc>
        <w:tc>
          <w:tcPr>
            <w:tcW w:w="2440" w:type="dxa"/>
            <w:vAlign w:val="center"/>
          </w:tcPr>
          <w:p>
            <w:pPr>
              <w:jc w:val="center"/>
              <w:rPr>
                <w:rFonts w:hint="eastAsia" w:ascii="宋体" w:hAnsi="宋体"/>
                <w:color w:val="000000"/>
                <w:sz w:val="18"/>
                <w:szCs w:val="18"/>
              </w:rPr>
            </w:pPr>
            <w:r>
              <w:rPr>
                <w:rFonts w:hint="eastAsia" w:ascii="宋体" w:hAnsi="宋体"/>
                <w:color w:val="000000"/>
                <w:sz w:val="18"/>
                <w:szCs w:val="18"/>
              </w:rPr>
              <w:t>501至1000床位数</w:t>
            </w:r>
          </w:p>
        </w:tc>
        <w:tc>
          <w:tcPr>
            <w:tcW w:w="2571" w:type="dxa"/>
            <w:vAlign w:val="center"/>
          </w:tcPr>
          <w:p>
            <w:pPr>
              <w:jc w:val="center"/>
              <w:rPr>
                <w:rFonts w:hint="eastAsia" w:ascii="宋体" w:hAnsi="宋体"/>
                <w:color w:val="000000"/>
                <w:sz w:val="18"/>
                <w:szCs w:val="18"/>
              </w:rPr>
            </w:pPr>
            <w:r>
              <w:rPr>
                <w:rFonts w:hint="eastAsia" w:ascii="宋体" w:hAnsi="宋体"/>
                <w:color w:val="000000"/>
                <w:sz w:val="18"/>
                <w:szCs w:val="18"/>
              </w:rPr>
              <w:t>1001至1500床位数</w:t>
            </w:r>
          </w:p>
        </w:tc>
        <w:tc>
          <w:tcPr>
            <w:tcW w:w="2182" w:type="dxa"/>
            <w:vAlign w:val="center"/>
          </w:tcPr>
          <w:p>
            <w:pPr>
              <w:jc w:val="center"/>
              <w:rPr>
                <w:rFonts w:hint="eastAsia" w:ascii="宋体" w:hAnsi="宋体"/>
                <w:color w:val="000000"/>
                <w:sz w:val="18"/>
                <w:szCs w:val="18"/>
              </w:rPr>
            </w:pPr>
            <w:r>
              <w:rPr>
                <w:rFonts w:hint="eastAsia" w:ascii="宋体" w:hAnsi="宋体"/>
                <w:color w:val="000000"/>
                <w:sz w:val="18"/>
                <w:szCs w:val="18"/>
              </w:rPr>
              <w:t>1501床位数以上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Align w:val="center"/>
          </w:tcPr>
          <w:p>
            <w:pPr>
              <w:jc w:val="center"/>
              <w:rPr>
                <w:rFonts w:hint="eastAsia" w:ascii="宋体" w:hAnsi="宋体"/>
                <w:color w:val="000000"/>
                <w:sz w:val="18"/>
                <w:szCs w:val="18"/>
              </w:rPr>
            </w:pPr>
            <w:r>
              <w:rPr>
                <w:rFonts w:hint="eastAsia" w:ascii="宋体" w:hAnsi="宋体"/>
                <w:color w:val="000000"/>
                <w:sz w:val="18"/>
                <w:szCs w:val="18"/>
              </w:rPr>
              <w:t>单位面积建筑能耗</w:t>
            </w:r>
          </w:p>
          <w:p>
            <w:pPr>
              <w:jc w:val="center"/>
              <w:rPr>
                <w:rFonts w:hint="eastAsia" w:ascii="宋体" w:hAnsi="宋体"/>
                <w:color w:val="000000"/>
                <w:sz w:val="18"/>
                <w:szCs w:val="18"/>
              </w:rPr>
            </w:pPr>
            <w:r>
              <w:rPr>
                <w:rFonts w:ascii="宋体" w:hAnsi="宋体"/>
                <w:color w:val="000000"/>
                <w:sz w:val="18"/>
                <w:szCs w:val="18"/>
              </w:rPr>
              <w:t>kgce</w:t>
            </w:r>
            <w:r>
              <w:rPr>
                <w:rFonts w:hint="eastAsia" w:ascii="宋体" w:hAnsi="宋体"/>
                <w:color w:val="000000"/>
                <w:sz w:val="18"/>
                <w:szCs w:val="18"/>
              </w:rPr>
              <w:t>/ m</w:t>
            </w:r>
            <w:r>
              <w:rPr>
                <w:rFonts w:hint="eastAsia" w:ascii="宋体" w:hAnsi="宋体"/>
                <w:color w:val="000000"/>
                <w:sz w:val="18"/>
                <w:szCs w:val="18"/>
                <w:vertAlign w:val="superscript"/>
              </w:rPr>
              <w:t>2</w:t>
            </w:r>
            <w:r>
              <w:rPr>
                <w:rFonts w:hint="eastAsia" w:ascii="宋体" w:hAnsi="宋体"/>
                <w:color w:val="000000"/>
                <w:sz w:val="18"/>
                <w:szCs w:val="18"/>
              </w:rPr>
              <w:t>·a</w:t>
            </w:r>
          </w:p>
        </w:tc>
        <w:tc>
          <w:tcPr>
            <w:tcW w:w="2440" w:type="dxa"/>
            <w:vAlign w:val="center"/>
          </w:tcPr>
          <w:p>
            <w:pPr>
              <w:jc w:val="center"/>
              <w:rPr>
                <w:rFonts w:hint="eastAsia" w:ascii="宋体" w:hAnsi="宋体"/>
                <w:color w:val="000000"/>
                <w:sz w:val="18"/>
                <w:szCs w:val="18"/>
              </w:rPr>
            </w:pPr>
            <w:r>
              <w:rPr>
                <w:rFonts w:hint="eastAsia" w:ascii="宋体" w:hAnsi="宋体"/>
                <w:color w:val="000000"/>
                <w:sz w:val="18"/>
                <w:szCs w:val="18"/>
              </w:rPr>
              <w:t>13～18</w:t>
            </w:r>
          </w:p>
        </w:tc>
        <w:tc>
          <w:tcPr>
            <w:tcW w:w="2571" w:type="dxa"/>
            <w:vAlign w:val="center"/>
          </w:tcPr>
          <w:p>
            <w:pPr>
              <w:jc w:val="center"/>
              <w:rPr>
                <w:rFonts w:hint="eastAsia" w:ascii="宋体" w:hAnsi="宋体"/>
                <w:color w:val="000000"/>
                <w:sz w:val="18"/>
                <w:szCs w:val="18"/>
              </w:rPr>
            </w:pPr>
            <w:r>
              <w:rPr>
                <w:rFonts w:hint="eastAsia" w:ascii="宋体" w:hAnsi="宋体"/>
                <w:color w:val="000000"/>
                <w:sz w:val="18"/>
                <w:szCs w:val="18"/>
              </w:rPr>
              <w:t>18～30</w:t>
            </w:r>
          </w:p>
        </w:tc>
        <w:tc>
          <w:tcPr>
            <w:tcW w:w="2182" w:type="dxa"/>
            <w:vAlign w:val="center"/>
          </w:tcPr>
          <w:p>
            <w:pPr>
              <w:jc w:val="center"/>
              <w:rPr>
                <w:rFonts w:hint="eastAsia" w:ascii="宋体" w:hAnsi="宋体"/>
                <w:color w:val="000000"/>
                <w:sz w:val="18"/>
                <w:szCs w:val="18"/>
              </w:rPr>
            </w:pPr>
            <w:r>
              <w:rPr>
                <w:rFonts w:hint="eastAsia" w:ascii="宋体" w:hAnsi="宋体"/>
                <w:color w:val="000000"/>
                <w:sz w:val="18"/>
                <w:szCs w:val="18"/>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Align w:val="center"/>
          </w:tcPr>
          <w:p>
            <w:pPr>
              <w:jc w:val="center"/>
              <w:rPr>
                <w:rFonts w:hint="eastAsia" w:ascii="宋体" w:hAnsi="宋体"/>
                <w:color w:val="000000"/>
                <w:sz w:val="18"/>
                <w:szCs w:val="18"/>
              </w:rPr>
            </w:pPr>
            <w:r>
              <w:rPr>
                <w:rFonts w:hint="eastAsia" w:ascii="宋体" w:hAnsi="宋体"/>
                <w:color w:val="000000"/>
                <w:sz w:val="18"/>
                <w:szCs w:val="18"/>
              </w:rPr>
              <w:t>床均综合能耗</w:t>
            </w:r>
          </w:p>
          <w:p>
            <w:pPr>
              <w:jc w:val="center"/>
              <w:rPr>
                <w:rFonts w:hint="eastAsia" w:ascii="宋体" w:hAnsi="宋体"/>
                <w:color w:val="000000"/>
                <w:sz w:val="18"/>
                <w:szCs w:val="18"/>
              </w:rPr>
            </w:pPr>
            <w:r>
              <w:rPr>
                <w:rFonts w:ascii="宋体" w:hAnsi="宋体"/>
                <w:color w:val="000000"/>
                <w:sz w:val="18"/>
                <w:szCs w:val="18"/>
              </w:rPr>
              <w:t>kgce</w:t>
            </w:r>
            <w:r>
              <w:rPr>
                <w:rFonts w:hint="eastAsia" w:ascii="宋体" w:hAnsi="宋体"/>
                <w:color w:val="000000"/>
                <w:sz w:val="18"/>
                <w:szCs w:val="18"/>
              </w:rPr>
              <w:t>/hb·a</w:t>
            </w:r>
          </w:p>
        </w:tc>
        <w:tc>
          <w:tcPr>
            <w:tcW w:w="2440" w:type="dxa"/>
            <w:vAlign w:val="center"/>
          </w:tcPr>
          <w:p>
            <w:pPr>
              <w:jc w:val="center"/>
              <w:rPr>
                <w:rFonts w:hint="eastAsia" w:ascii="宋体" w:hAnsi="宋体"/>
                <w:color w:val="000000"/>
                <w:sz w:val="18"/>
                <w:szCs w:val="18"/>
              </w:rPr>
            </w:pPr>
            <w:r>
              <w:rPr>
                <w:rFonts w:hint="eastAsia" w:ascii="宋体" w:hAnsi="宋体"/>
                <w:color w:val="000000"/>
                <w:sz w:val="18"/>
                <w:szCs w:val="18"/>
              </w:rPr>
              <w:t>900～1100</w:t>
            </w:r>
          </w:p>
        </w:tc>
        <w:tc>
          <w:tcPr>
            <w:tcW w:w="2571" w:type="dxa"/>
            <w:vAlign w:val="center"/>
          </w:tcPr>
          <w:p>
            <w:pPr>
              <w:jc w:val="center"/>
              <w:rPr>
                <w:rFonts w:hint="eastAsia" w:ascii="宋体" w:hAnsi="宋体"/>
                <w:color w:val="000000"/>
                <w:sz w:val="18"/>
                <w:szCs w:val="18"/>
              </w:rPr>
            </w:pPr>
            <w:r>
              <w:rPr>
                <w:rFonts w:hint="eastAsia" w:ascii="宋体" w:hAnsi="宋体"/>
                <w:color w:val="000000"/>
                <w:sz w:val="18"/>
                <w:szCs w:val="18"/>
              </w:rPr>
              <w:t>1100～2500</w:t>
            </w:r>
          </w:p>
        </w:tc>
        <w:tc>
          <w:tcPr>
            <w:tcW w:w="2182" w:type="dxa"/>
            <w:vAlign w:val="center"/>
          </w:tcPr>
          <w:p>
            <w:pPr>
              <w:jc w:val="center"/>
              <w:rPr>
                <w:rFonts w:hint="eastAsia" w:ascii="宋体" w:hAnsi="宋体"/>
                <w:color w:val="000000"/>
                <w:sz w:val="18"/>
                <w:szCs w:val="18"/>
              </w:rPr>
            </w:pPr>
            <w:r>
              <w:rPr>
                <w:rFonts w:hint="eastAsia" w:ascii="宋体" w:hAnsi="宋体"/>
                <w:color w:val="000000"/>
                <w:sz w:val="18"/>
                <w:szCs w:val="18"/>
              </w:rPr>
              <w:t>2500～3500</w:t>
            </w:r>
          </w:p>
        </w:tc>
      </w:tr>
    </w:tbl>
    <w:p>
      <w:pPr>
        <w:pStyle w:val="117"/>
        <w:numPr>
          <w:ilvl w:val="0"/>
          <w:numId w:val="0"/>
        </w:numPr>
        <w:autoSpaceDN w:val="0"/>
        <w:spacing w:before="312" w:beforeLines="100"/>
        <w:rPr>
          <w:rFonts w:hint="eastAsia"/>
          <w:color w:val="000000"/>
        </w:rPr>
      </w:pPr>
      <w:bookmarkStart w:id="37" w:name="_Toc411435940"/>
      <w:r>
        <w:rPr>
          <w:rFonts w:hint="eastAsia"/>
          <w:color w:val="000000"/>
        </w:rPr>
        <w:t>表1　医疗机构能源资源消费定额</w:t>
      </w:r>
      <w:r>
        <w:rPr>
          <w:rFonts w:hint="eastAsia" w:ascii="宋体" w:hAnsi="宋体" w:eastAsia="宋体"/>
          <w:color w:val="000000"/>
        </w:rPr>
        <w:t>（续）</w:t>
      </w:r>
    </w:p>
    <w:tbl>
      <w:tblPr>
        <w:tblStyle w:val="3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440"/>
        <w:gridCol w:w="2571"/>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Merge w:val="restart"/>
            <w:vAlign w:val="center"/>
          </w:tcPr>
          <w:p>
            <w:pPr>
              <w:jc w:val="center"/>
              <w:rPr>
                <w:rFonts w:hint="eastAsia" w:ascii="宋体" w:hAnsi="宋体"/>
                <w:color w:val="000000"/>
                <w:sz w:val="18"/>
                <w:szCs w:val="18"/>
              </w:rPr>
            </w:pPr>
            <w:r>
              <w:rPr>
                <w:rFonts w:hint="eastAsia" w:ascii="宋体" w:hAnsi="宋体"/>
                <w:color w:val="000000"/>
                <w:sz w:val="18"/>
                <w:szCs w:val="18"/>
              </w:rPr>
              <w:t>能源资源消费指标</w:t>
            </w:r>
          </w:p>
        </w:tc>
        <w:tc>
          <w:tcPr>
            <w:tcW w:w="7193" w:type="dxa"/>
            <w:gridSpan w:val="3"/>
            <w:vAlign w:val="center"/>
          </w:tcPr>
          <w:p>
            <w:pPr>
              <w:jc w:val="center"/>
              <w:rPr>
                <w:rFonts w:hint="eastAsia" w:ascii="宋体" w:hAnsi="宋体"/>
                <w:color w:val="000000"/>
                <w:sz w:val="18"/>
                <w:szCs w:val="18"/>
              </w:rPr>
            </w:pPr>
            <w:r>
              <w:rPr>
                <w:rFonts w:hint="eastAsia" w:ascii="宋体" w:hAnsi="宋体"/>
                <w:color w:val="000000"/>
                <w:sz w:val="18"/>
                <w:szCs w:val="18"/>
              </w:rPr>
              <w:t>定额值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Merge w:val="continue"/>
            <w:vAlign w:val="center"/>
          </w:tcPr>
          <w:p>
            <w:pPr>
              <w:jc w:val="center"/>
              <w:rPr>
                <w:rFonts w:hint="eastAsia" w:ascii="宋体" w:hAnsi="宋体"/>
                <w:color w:val="000000"/>
                <w:sz w:val="18"/>
                <w:szCs w:val="18"/>
              </w:rPr>
            </w:pPr>
          </w:p>
        </w:tc>
        <w:tc>
          <w:tcPr>
            <w:tcW w:w="2440" w:type="dxa"/>
            <w:vAlign w:val="center"/>
          </w:tcPr>
          <w:p>
            <w:pPr>
              <w:jc w:val="center"/>
              <w:rPr>
                <w:rFonts w:hint="eastAsia" w:ascii="宋体" w:hAnsi="宋体"/>
                <w:color w:val="000000"/>
                <w:sz w:val="18"/>
                <w:szCs w:val="18"/>
              </w:rPr>
            </w:pPr>
            <w:r>
              <w:rPr>
                <w:rFonts w:hint="eastAsia" w:ascii="宋体" w:hAnsi="宋体"/>
                <w:color w:val="000000"/>
                <w:sz w:val="18"/>
                <w:szCs w:val="18"/>
              </w:rPr>
              <w:t>501至1000床位数</w:t>
            </w:r>
          </w:p>
        </w:tc>
        <w:tc>
          <w:tcPr>
            <w:tcW w:w="2571" w:type="dxa"/>
            <w:vAlign w:val="center"/>
          </w:tcPr>
          <w:p>
            <w:pPr>
              <w:jc w:val="center"/>
              <w:rPr>
                <w:rFonts w:hint="eastAsia" w:ascii="宋体" w:hAnsi="宋体"/>
                <w:color w:val="000000"/>
                <w:sz w:val="18"/>
                <w:szCs w:val="18"/>
              </w:rPr>
            </w:pPr>
            <w:r>
              <w:rPr>
                <w:rFonts w:hint="eastAsia" w:ascii="宋体" w:hAnsi="宋体"/>
                <w:color w:val="000000"/>
                <w:sz w:val="18"/>
                <w:szCs w:val="18"/>
              </w:rPr>
              <w:t>1001至1500床位数</w:t>
            </w:r>
          </w:p>
        </w:tc>
        <w:tc>
          <w:tcPr>
            <w:tcW w:w="2182" w:type="dxa"/>
            <w:vAlign w:val="center"/>
          </w:tcPr>
          <w:p>
            <w:pPr>
              <w:jc w:val="center"/>
              <w:rPr>
                <w:rFonts w:hint="eastAsia" w:ascii="宋体" w:hAnsi="宋体"/>
                <w:color w:val="000000"/>
                <w:sz w:val="18"/>
                <w:szCs w:val="18"/>
              </w:rPr>
            </w:pPr>
            <w:r>
              <w:rPr>
                <w:rFonts w:hint="eastAsia" w:ascii="宋体" w:hAnsi="宋体"/>
                <w:color w:val="000000"/>
                <w:sz w:val="18"/>
                <w:szCs w:val="18"/>
              </w:rPr>
              <w:t>1501床位数以上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Align w:val="center"/>
          </w:tcPr>
          <w:p>
            <w:pPr>
              <w:jc w:val="center"/>
              <w:rPr>
                <w:rFonts w:hint="eastAsia" w:ascii="宋体" w:hAnsi="宋体"/>
                <w:color w:val="000000"/>
                <w:sz w:val="18"/>
                <w:szCs w:val="18"/>
              </w:rPr>
            </w:pPr>
            <w:r>
              <w:rPr>
                <w:rFonts w:hint="eastAsia" w:ascii="宋体" w:hAnsi="宋体"/>
                <w:color w:val="000000"/>
                <w:sz w:val="18"/>
                <w:szCs w:val="18"/>
              </w:rPr>
              <w:t>床均综合水耗</w:t>
            </w:r>
          </w:p>
          <w:p>
            <w:pPr>
              <w:jc w:val="center"/>
              <w:rPr>
                <w:rFonts w:hint="eastAsia" w:ascii="宋体" w:hAnsi="宋体"/>
                <w:color w:val="000000"/>
                <w:sz w:val="18"/>
                <w:szCs w:val="18"/>
              </w:rPr>
            </w:pPr>
            <w:r>
              <w:rPr>
                <w:rFonts w:hint="eastAsia" w:ascii="宋体" w:hAnsi="宋体"/>
                <w:color w:val="000000"/>
                <w:sz w:val="18"/>
                <w:szCs w:val="18"/>
              </w:rPr>
              <w:t>m</w:t>
            </w:r>
            <w:r>
              <w:rPr>
                <w:rFonts w:hint="eastAsia" w:ascii="宋体" w:hAnsi="宋体"/>
                <w:color w:val="000000"/>
                <w:sz w:val="18"/>
                <w:szCs w:val="18"/>
                <w:vertAlign w:val="superscript"/>
              </w:rPr>
              <w:t>3</w:t>
            </w:r>
            <w:r>
              <w:rPr>
                <w:rFonts w:hint="eastAsia" w:ascii="宋体" w:hAnsi="宋体"/>
                <w:color w:val="000000"/>
                <w:sz w:val="18"/>
                <w:szCs w:val="18"/>
              </w:rPr>
              <w:t>/hb·a</w:t>
            </w:r>
          </w:p>
        </w:tc>
        <w:tc>
          <w:tcPr>
            <w:tcW w:w="2440" w:type="dxa"/>
            <w:vAlign w:val="center"/>
          </w:tcPr>
          <w:p>
            <w:pPr>
              <w:jc w:val="center"/>
              <w:rPr>
                <w:rFonts w:hint="eastAsia" w:ascii="宋体" w:hAnsi="宋体"/>
                <w:color w:val="000000"/>
                <w:sz w:val="18"/>
                <w:szCs w:val="18"/>
              </w:rPr>
            </w:pPr>
            <w:r>
              <w:rPr>
                <w:rFonts w:hint="eastAsia" w:ascii="宋体" w:hAnsi="宋体"/>
                <w:color w:val="000000"/>
                <w:sz w:val="18"/>
                <w:szCs w:val="18"/>
              </w:rPr>
              <w:t>160～180</w:t>
            </w:r>
          </w:p>
        </w:tc>
        <w:tc>
          <w:tcPr>
            <w:tcW w:w="2571" w:type="dxa"/>
            <w:vAlign w:val="center"/>
          </w:tcPr>
          <w:p>
            <w:pPr>
              <w:jc w:val="center"/>
              <w:rPr>
                <w:rFonts w:hint="eastAsia" w:ascii="宋体" w:hAnsi="宋体"/>
                <w:color w:val="000000"/>
                <w:sz w:val="18"/>
                <w:szCs w:val="18"/>
              </w:rPr>
            </w:pPr>
            <w:r>
              <w:rPr>
                <w:rFonts w:hint="eastAsia" w:ascii="宋体" w:hAnsi="宋体"/>
                <w:color w:val="000000"/>
                <w:sz w:val="18"/>
                <w:szCs w:val="18"/>
              </w:rPr>
              <w:t>180～200</w:t>
            </w:r>
          </w:p>
        </w:tc>
        <w:tc>
          <w:tcPr>
            <w:tcW w:w="2182" w:type="dxa"/>
            <w:vAlign w:val="center"/>
          </w:tcPr>
          <w:p>
            <w:pPr>
              <w:jc w:val="center"/>
              <w:rPr>
                <w:rFonts w:hint="eastAsia" w:ascii="宋体" w:hAnsi="宋体"/>
                <w:color w:val="000000"/>
                <w:sz w:val="18"/>
                <w:szCs w:val="18"/>
              </w:rPr>
            </w:pPr>
            <w:r>
              <w:rPr>
                <w:rFonts w:hint="eastAsia" w:ascii="宋体" w:hAnsi="宋体"/>
                <w:color w:val="000000"/>
                <w:sz w:val="18"/>
                <w:szCs w:val="18"/>
              </w:rPr>
              <w:t>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gridSpan w:val="4"/>
            <w:tcBorders>
              <w:top w:val="single" w:color="auto" w:sz="4" w:space="0"/>
              <w:left w:val="single" w:color="auto" w:sz="4" w:space="0"/>
              <w:bottom w:val="single" w:color="auto" w:sz="4" w:space="0"/>
              <w:right w:val="single" w:color="auto" w:sz="4" w:space="0"/>
            </w:tcBorders>
            <w:vAlign w:val="center"/>
          </w:tcPr>
          <w:p>
            <w:pPr>
              <w:pStyle w:val="51"/>
              <w:rPr>
                <w:rFonts w:hint="eastAsia" w:hAnsi="宋体"/>
                <w:color w:val="000000"/>
              </w:rPr>
            </w:pPr>
            <w:r>
              <w:rPr>
                <w:rFonts w:hint="eastAsia"/>
                <w:color w:val="000000"/>
              </w:rPr>
              <w:t>床位数超过3000，且其大型医疗设备、洁净室、手术室集中，则其大型设备、洁净室、手术室用能用水单独列出。</w:t>
            </w:r>
          </w:p>
        </w:tc>
      </w:tr>
    </w:tbl>
    <w:p>
      <w:pPr>
        <w:pStyle w:val="39"/>
        <w:rPr>
          <w:rFonts w:hint="eastAsia"/>
          <w:color w:val="000000"/>
        </w:rPr>
      </w:pPr>
      <w:bookmarkStart w:id="38" w:name="_Toc415170131"/>
      <w:r>
        <w:rPr>
          <w:rFonts w:hint="eastAsia"/>
          <w:color w:val="000000"/>
        </w:rPr>
        <w:t>节约能源资源的管理与技术措施</w:t>
      </w:r>
      <w:bookmarkEnd w:id="37"/>
      <w:bookmarkEnd w:id="38"/>
    </w:p>
    <w:p>
      <w:pPr>
        <w:pStyle w:val="36"/>
        <w:rPr>
          <w:rFonts w:hint="eastAsia"/>
          <w:color w:val="000000"/>
        </w:rPr>
      </w:pPr>
      <w:r>
        <w:rPr>
          <w:rFonts w:hint="eastAsia"/>
          <w:color w:val="000000"/>
        </w:rPr>
        <w:t>节能管理措施</w:t>
      </w:r>
    </w:p>
    <w:p>
      <w:pPr>
        <w:pStyle w:val="57"/>
        <w:rPr>
          <w:rFonts w:hint="eastAsia"/>
          <w:color w:val="000000"/>
        </w:rPr>
      </w:pPr>
      <w:r>
        <w:rPr>
          <w:rFonts w:hint="eastAsia"/>
          <w:color w:val="000000"/>
        </w:rPr>
        <w:t>医疗机构计量制度、计量人员应符合GB/T 29149的规定。</w:t>
      </w:r>
    </w:p>
    <w:p>
      <w:pPr>
        <w:pStyle w:val="57"/>
        <w:rPr>
          <w:rFonts w:hint="eastAsia"/>
          <w:color w:val="000000"/>
        </w:rPr>
      </w:pPr>
      <w:r>
        <w:rPr>
          <w:rFonts w:hint="eastAsia"/>
          <w:color w:val="000000"/>
        </w:rPr>
        <w:t>医疗机构计量器具配备与管理、计量数据应符合GB/T 29149的规定。</w:t>
      </w:r>
    </w:p>
    <w:p>
      <w:pPr>
        <w:pStyle w:val="57"/>
        <w:rPr>
          <w:rFonts w:hint="eastAsia"/>
          <w:color w:val="000000"/>
        </w:rPr>
      </w:pPr>
      <w:r>
        <w:rPr>
          <w:rFonts w:hint="eastAsia"/>
          <w:color w:val="000000"/>
        </w:rPr>
        <w:t>医疗机构应有计划地落实能耗监测系统项目建设，通过安装分户、分类和分项能耗计量装置，采用远程传输等手段实时采集能耗数据，实施能耗在线监测与动态分析，及时发现、纠正用能浪费现象，为用能指标控制提供数据支持。</w:t>
      </w:r>
    </w:p>
    <w:p>
      <w:pPr>
        <w:pStyle w:val="57"/>
        <w:rPr>
          <w:rFonts w:hint="eastAsia"/>
          <w:color w:val="000000"/>
        </w:rPr>
      </w:pPr>
      <w:r>
        <w:rPr>
          <w:rFonts w:hint="eastAsia"/>
          <w:color w:val="000000"/>
        </w:rPr>
        <w:t>医疗机构应建立节能考核制度，依据能源资源管理的规定，提出考核指标，制定能源资源使用计划和节约规划，并将考核指标分解落实到各用能单位。</w:t>
      </w:r>
    </w:p>
    <w:p>
      <w:pPr>
        <w:pStyle w:val="57"/>
        <w:rPr>
          <w:rFonts w:hint="eastAsia"/>
          <w:color w:val="000000"/>
        </w:rPr>
      </w:pPr>
      <w:r>
        <w:rPr>
          <w:rFonts w:hint="eastAsia"/>
          <w:color w:val="000000"/>
        </w:rPr>
        <w:t>医疗机构应配合节能监察部门，组织开展本单位的节能监察工作。对实际用能用水超过本标准消费指标的医疗机构，应开展能源审计，及时准确掌握能源资源使用状况，开展节能诊断，分析节能、节水潜力、制定节能节水改造方案。</w:t>
      </w:r>
    </w:p>
    <w:p>
      <w:pPr>
        <w:pStyle w:val="57"/>
        <w:rPr>
          <w:rFonts w:hint="eastAsia"/>
          <w:color w:val="000000"/>
        </w:rPr>
      </w:pPr>
      <w:r>
        <w:rPr>
          <w:rFonts w:hint="eastAsia"/>
          <w:color w:val="000000"/>
        </w:rPr>
        <w:t>医疗机构应创造条件采用合同能源管理方式，不断提高能源资源利用效率和管理水平。</w:t>
      </w:r>
    </w:p>
    <w:p>
      <w:pPr>
        <w:pStyle w:val="36"/>
        <w:rPr>
          <w:rFonts w:hint="eastAsia"/>
          <w:color w:val="000000"/>
        </w:rPr>
      </w:pPr>
      <w:r>
        <w:rPr>
          <w:rFonts w:hint="eastAsia"/>
          <w:color w:val="000000"/>
        </w:rPr>
        <w:t>节能技术措施</w:t>
      </w:r>
    </w:p>
    <w:p>
      <w:pPr>
        <w:pStyle w:val="57"/>
        <w:rPr>
          <w:rFonts w:hint="eastAsia"/>
          <w:color w:val="000000"/>
        </w:rPr>
      </w:pPr>
      <w:r>
        <w:rPr>
          <w:rFonts w:hint="eastAsia"/>
          <w:color w:val="000000"/>
        </w:rPr>
        <w:t>医疗机构</w:t>
      </w:r>
      <w:r>
        <w:rPr>
          <w:rFonts w:hint="eastAsia"/>
          <w:color w:val="000000"/>
          <w:kern w:val="2"/>
        </w:rPr>
        <w:t>应根据自身特点采用高效、节能、节水的产品和技术。如高效的空调冷热源设备、系统输配及末端装置；热回收、LED照明、智能控制、中水回用等。</w:t>
      </w:r>
    </w:p>
    <w:p>
      <w:pPr>
        <w:pStyle w:val="57"/>
        <w:rPr>
          <w:rFonts w:hint="eastAsia"/>
          <w:color w:val="000000"/>
        </w:rPr>
      </w:pPr>
      <w:r>
        <w:rPr>
          <w:rFonts w:hint="eastAsia"/>
          <w:color w:val="000000"/>
        </w:rPr>
        <w:t>有条件的医疗机构宜采用太阳能等可再生能源。</w:t>
      </w:r>
    </w:p>
    <w:p>
      <w:pPr>
        <w:pStyle w:val="90"/>
        <w:rPr>
          <w:color w:val="000000"/>
        </w:rPr>
      </w:pPr>
    </w:p>
    <w:p>
      <w:pPr>
        <w:pStyle w:val="79"/>
        <w:rPr>
          <w:color w:val="000000"/>
        </w:rPr>
      </w:pPr>
    </w:p>
    <w:p>
      <w:pPr>
        <w:pStyle w:val="77"/>
        <w:rPr>
          <w:rFonts w:hint="eastAsia"/>
          <w:color w:val="000000"/>
        </w:rPr>
      </w:pPr>
      <w:r>
        <w:rPr>
          <w:color w:val="000000"/>
        </w:rPr>
        <w:br w:type="textWrapping"/>
      </w:r>
      <w:bookmarkStart w:id="39" w:name="_Toc415087595"/>
      <w:bookmarkStart w:id="40" w:name="_Toc415170132"/>
      <w:r>
        <w:rPr>
          <w:rFonts w:hint="eastAsia"/>
          <w:color w:val="000000"/>
        </w:rPr>
        <w:t>（资料性附录）</w:t>
      </w:r>
      <w:r>
        <w:rPr>
          <w:color w:val="000000"/>
        </w:rPr>
        <w:br w:type="textWrapping"/>
      </w:r>
      <w:r>
        <w:rPr>
          <w:rFonts w:hint="eastAsia"/>
          <w:color w:val="000000"/>
        </w:rPr>
        <w:t>常用能源折标煤参考系数</w:t>
      </w:r>
      <w:bookmarkEnd w:id="39"/>
      <w:bookmarkEnd w:id="40"/>
    </w:p>
    <w:p>
      <w:pPr>
        <w:pStyle w:val="80"/>
        <w:spacing w:before="156" w:after="156"/>
        <w:rPr>
          <w:rFonts w:hint="eastAsia"/>
          <w:color w:val="000000"/>
        </w:rPr>
      </w:pPr>
      <w:r>
        <w:rPr>
          <w:rFonts w:hint="eastAsia"/>
          <w:color w:val="000000"/>
        </w:rPr>
        <w:t>常用能源折标煤参考系数</w:t>
      </w:r>
    </w:p>
    <w:tbl>
      <w:tblPr>
        <w:tblStyle w:val="3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4249"/>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能源名称</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系数单位</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折标煤系数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原煤</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kgce/kg</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0.7143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天然气</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kgce/m</w:t>
            </w:r>
            <w:r>
              <w:rPr>
                <w:rFonts w:hint="eastAsia" w:ascii="宋体" w:hAnsi="宋体"/>
                <w:color w:val="000000"/>
                <w:sz w:val="18"/>
                <w:szCs w:val="18"/>
                <w:vertAlign w:val="superscript"/>
              </w:rPr>
              <w:t>3</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液化石油气</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kgce/kg</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1.7143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汽油</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kgce/kg</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1.4714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柴油</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kgce/kg</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1.4571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燃料油</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kgce/kg</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1.4286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电力</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kgce/kWh</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0.1229（当量）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ascii="宋体" w:hAnsi="宋体"/>
                <w:color w:val="000000"/>
                <w:sz w:val="18"/>
                <w:szCs w:val="18"/>
              </w:rPr>
            </w:pPr>
            <w:r>
              <w:rPr>
                <w:rFonts w:hint="eastAsia" w:ascii="宋体" w:hAnsi="宋体"/>
                <w:color w:val="000000"/>
                <w:sz w:val="18"/>
                <w:szCs w:val="18"/>
              </w:rPr>
              <w:t>热力</w:t>
            </w:r>
          </w:p>
        </w:tc>
        <w:tc>
          <w:tcPr>
            <w:tcW w:w="4249" w:type="dxa"/>
            <w:vAlign w:val="center"/>
          </w:tcPr>
          <w:p>
            <w:pPr>
              <w:jc w:val="center"/>
              <w:rPr>
                <w:rFonts w:ascii="宋体" w:hAnsi="宋体"/>
                <w:color w:val="000000"/>
                <w:sz w:val="18"/>
                <w:szCs w:val="18"/>
              </w:rPr>
            </w:pPr>
            <w:r>
              <w:rPr>
                <w:rFonts w:hint="eastAsia" w:ascii="宋体" w:hAnsi="宋体"/>
                <w:color w:val="000000"/>
                <w:sz w:val="18"/>
                <w:szCs w:val="18"/>
              </w:rPr>
              <w:t>kgce/MJ</w:t>
            </w:r>
          </w:p>
        </w:tc>
        <w:tc>
          <w:tcPr>
            <w:tcW w:w="2911" w:type="dxa"/>
            <w:vAlign w:val="center"/>
          </w:tcPr>
          <w:p>
            <w:pPr>
              <w:jc w:val="center"/>
              <w:rPr>
                <w:rFonts w:ascii="宋体" w:hAnsi="宋体"/>
                <w:color w:val="000000"/>
                <w:sz w:val="18"/>
                <w:szCs w:val="18"/>
              </w:rPr>
            </w:pPr>
            <w:r>
              <w:rPr>
                <w:rFonts w:hint="eastAsia" w:ascii="宋体" w:hAnsi="宋体"/>
                <w:color w:val="000000"/>
                <w:sz w:val="18"/>
                <w:szCs w:val="18"/>
              </w:rPr>
              <w:t>0.03412（当量）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0" w:type="dxa"/>
            <w:vAlign w:val="center"/>
          </w:tcPr>
          <w:p>
            <w:pPr>
              <w:jc w:val="center"/>
              <w:rPr>
                <w:rFonts w:hint="eastAsia" w:ascii="宋体" w:hAnsi="宋体"/>
                <w:color w:val="000000"/>
                <w:sz w:val="18"/>
                <w:szCs w:val="18"/>
              </w:rPr>
            </w:pPr>
            <w:r>
              <w:rPr>
                <w:rFonts w:hint="eastAsia" w:ascii="宋体" w:hAnsi="宋体"/>
                <w:color w:val="000000"/>
                <w:sz w:val="18"/>
                <w:szCs w:val="18"/>
              </w:rPr>
              <w:t>蒸汽（低压）</w:t>
            </w:r>
          </w:p>
        </w:tc>
        <w:tc>
          <w:tcPr>
            <w:tcW w:w="4249" w:type="dxa"/>
            <w:vAlign w:val="center"/>
          </w:tcPr>
          <w:p>
            <w:pPr>
              <w:jc w:val="center"/>
              <w:rPr>
                <w:rFonts w:hint="eastAsia" w:ascii="宋体" w:hAnsi="宋体"/>
                <w:color w:val="000000"/>
                <w:sz w:val="18"/>
                <w:szCs w:val="18"/>
              </w:rPr>
            </w:pPr>
            <w:r>
              <w:rPr>
                <w:rFonts w:hint="eastAsia" w:ascii="宋体" w:hAnsi="宋体"/>
                <w:color w:val="000000"/>
                <w:sz w:val="18"/>
                <w:szCs w:val="18"/>
              </w:rPr>
              <w:t>3763 MJ/t（900 Mcal/t）</w:t>
            </w:r>
          </w:p>
        </w:tc>
        <w:tc>
          <w:tcPr>
            <w:tcW w:w="2911" w:type="dxa"/>
            <w:vAlign w:val="center"/>
          </w:tcPr>
          <w:p>
            <w:pPr>
              <w:jc w:val="center"/>
              <w:rPr>
                <w:rFonts w:hint="eastAsia" w:ascii="宋体" w:hAnsi="宋体"/>
                <w:color w:val="000000"/>
                <w:sz w:val="18"/>
                <w:szCs w:val="18"/>
              </w:rPr>
            </w:pPr>
            <w:r>
              <w:rPr>
                <w:rFonts w:hint="eastAsia" w:ascii="宋体" w:hAnsi="宋体"/>
                <w:color w:val="000000"/>
                <w:sz w:val="18"/>
                <w:szCs w:val="18"/>
              </w:rPr>
              <w:t>0.1286 kgce/kgl</w:t>
            </w:r>
          </w:p>
        </w:tc>
      </w:tr>
    </w:tbl>
    <w:p>
      <w:pPr>
        <w:pStyle w:val="20"/>
        <w:rPr>
          <w:color w:val="000000"/>
        </w:rPr>
      </w:pPr>
    </w:p>
    <w:p>
      <w:pPr>
        <w:pStyle w:val="90"/>
        <w:rPr>
          <w:color w:val="000000"/>
        </w:rPr>
      </w:pPr>
    </w:p>
    <w:p>
      <w:pPr>
        <w:pStyle w:val="79"/>
        <w:rPr>
          <w:color w:val="000000"/>
        </w:rPr>
      </w:pPr>
    </w:p>
    <w:p>
      <w:pPr>
        <w:pStyle w:val="77"/>
        <w:rPr>
          <w:rFonts w:hint="eastAsia"/>
          <w:color w:val="000000"/>
        </w:rPr>
      </w:pPr>
      <w:r>
        <w:rPr>
          <w:color w:val="000000"/>
        </w:rPr>
        <w:br w:type="textWrapping"/>
      </w:r>
      <w:bookmarkStart w:id="41" w:name="_Toc415087596"/>
      <w:bookmarkStart w:id="42" w:name="_Toc415170133"/>
      <w:r>
        <w:rPr>
          <w:rFonts w:hint="eastAsia"/>
          <w:color w:val="000000"/>
        </w:rPr>
        <w:t>（资料性附录）</w:t>
      </w:r>
      <w:r>
        <w:rPr>
          <w:color w:val="000000"/>
        </w:rPr>
        <w:br w:type="textWrapping"/>
      </w:r>
      <w:r>
        <w:rPr>
          <w:rFonts w:hint="eastAsia"/>
          <w:color w:val="000000"/>
        </w:rPr>
        <w:t>能源资源消费定额的使用</w:t>
      </w:r>
      <w:bookmarkEnd w:id="41"/>
      <w:bookmarkEnd w:id="42"/>
    </w:p>
    <w:p>
      <w:pPr>
        <w:pStyle w:val="80"/>
        <w:spacing w:before="156" w:after="156"/>
        <w:rPr>
          <w:rFonts w:hint="eastAsia"/>
          <w:color w:val="000000"/>
        </w:rPr>
      </w:pPr>
      <w:r>
        <w:rPr>
          <w:rFonts w:hint="eastAsia" w:ascii="Times New Roman"/>
          <w:color w:val="000000"/>
        </w:rPr>
        <w:t>医疗机构</w:t>
      </w:r>
      <w:r>
        <w:rPr>
          <w:rFonts w:hint="eastAsia"/>
          <w:color w:val="000000"/>
        </w:rPr>
        <w:t>能源资源消费定额的使用</w:t>
      </w:r>
    </w:p>
    <w:tbl>
      <w:tblPr>
        <w:tblStyle w:val="3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宋体" w:hAnsi="宋体"/>
                <w:color w:val="000000"/>
                <w:sz w:val="18"/>
                <w:szCs w:val="18"/>
              </w:rPr>
            </w:pPr>
            <w:r>
              <w:rPr>
                <w:rFonts w:hint="eastAsia" w:ascii="宋体" w:hAnsi="宋体"/>
                <w:color w:val="000000"/>
                <w:sz w:val="18"/>
                <w:szCs w:val="18"/>
              </w:rPr>
              <w:t>能源资源消费指标数值比较</w:t>
            </w:r>
          </w:p>
        </w:tc>
        <w:tc>
          <w:tcPr>
            <w:tcW w:w="6910" w:type="dxa"/>
            <w:vAlign w:val="center"/>
          </w:tcPr>
          <w:p>
            <w:pPr>
              <w:jc w:val="center"/>
              <w:rPr>
                <w:rFonts w:hint="eastAsia" w:ascii="宋体" w:hAnsi="宋体"/>
                <w:color w:val="000000"/>
                <w:sz w:val="18"/>
                <w:szCs w:val="18"/>
              </w:rPr>
            </w:pPr>
            <w:r>
              <w:rPr>
                <w:rFonts w:hint="eastAsia" w:ascii="宋体" w:hAnsi="宋体"/>
                <w:color w:val="000000"/>
                <w:sz w:val="18"/>
                <w:szCs w:val="18"/>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宋体" w:hAnsi="宋体"/>
                <w:color w:val="000000"/>
                <w:sz w:val="18"/>
                <w:szCs w:val="18"/>
              </w:rPr>
            </w:pPr>
            <w:r>
              <w:rPr>
                <w:rFonts w:hint="eastAsia" w:ascii="宋体" w:hAnsi="宋体"/>
                <w:color w:val="000000"/>
                <w:sz w:val="18"/>
                <w:szCs w:val="18"/>
              </w:rPr>
              <w:t>X＞上限值</w:t>
            </w:r>
          </w:p>
        </w:tc>
        <w:tc>
          <w:tcPr>
            <w:tcW w:w="6910" w:type="dxa"/>
            <w:vAlign w:val="center"/>
          </w:tcPr>
          <w:p>
            <w:pPr>
              <w:ind w:firstLine="360" w:firstLineChars="200"/>
              <w:rPr>
                <w:rFonts w:hint="eastAsia" w:ascii="宋体" w:hAnsi="宋体"/>
                <w:color w:val="000000"/>
                <w:sz w:val="18"/>
                <w:szCs w:val="18"/>
              </w:rPr>
            </w:pPr>
            <w:r>
              <w:rPr>
                <w:rFonts w:hint="eastAsia" w:ascii="宋体" w:hAnsi="宋体"/>
                <w:color w:val="000000"/>
                <w:sz w:val="18"/>
                <w:szCs w:val="18"/>
              </w:rPr>
              <w:t>应开展详细能源审计，比较差距，进行节能分析，实施有效的节能运行管理和经济性节能改造。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宋体" w:hAnsi="宋体"/>
                <w:color w:val="000000"/>
                <w:sz w:val="18"/>
                <w:szCs w:val="18"/>
              </w:rPr>
            </w:pPr>
            <w:r>
              <w:rPr>
                <w:rFonts w:hint="eastAsia" w:ascii="宋体" w:hAnsi="宋体"/>
                <w:color w:val="000000"/>
                <w:sz w:val="18"/>
                <w:szCs w:val="18"/>
              </w:rPr>
              <w:t>下限值≤X≤上限值</w:t>
            </w:r>
          </w:p>
        </w:tc>
        <w:tc>
          <w:tcPr>
            <w:tcW w:w="6910" w:type="dxa"/>
            <w:vAlign w:val="center"/>
          </w:tcPr>
          <w:p>
            <w:pPr>
              <w:ind w:firstLine="360" w:firstLineChars="200"/>
              <w:rPr>
                <w:rFonts w:hint="eastAsia" w:ascii="宋体" w:hAnsi="宋体"/>
                <w:color w:val="000000"/>
                <w:sz w:val="18"/>
                <w:szCs w:val="18"/>
              </w:rPr>
            </w:pPr>
            <w:r>
              <w:rPr>
                <w:rFonts w:hint="eastAsia" w:ascii="宋体" w:hAnsi="宋体"/>
                <w:color w:val="000000"/>
                <w:sz w:val="18"/>
                <w:szCs w:val="18"/>
              </w:rPr>
              <w:t>宜开展专项能源审计，挖掘节能潜力，进一步降低用能设备或系统的能源资源消费。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宋体" w:hAnsi="宋体"/>
                <w:color w:val="000000"/>
                <w:sz w:val="18"/>
                <w:szCs w:val="18"/>
              </w:rPr>
            </w:pPr>
            <w:r>
              <w:rPr>
                <w:rFonts w:hint="eastAsia" w:ascii="宋体" w:hAnsi="宋体"/>
                <w:color w:val="000000"/>
                <w:sz w:val="18"/>
                <w:szCs w:val="18"/>
              </w:rPr>
              <w:t>X＜下限值</w:t>
            </w:r>
          </w:p>
        </w:tc>
        <w:tc>
          <w:tcPr>
            <w:tcW w:w="6910" w:type="dxa"/>
            <w:vAlign w:val="center"/>
          </w:tcPr>
          <w:p>
            <w:pPr>
              <w:ind w:firstLine="360" w:firstLineChars="200"/>
              <w:rPr>
                <w:rFonts w:hint="eastAsia" w:ascii="宋体" w:hAnsi="宋体"/>
                <w:color w:val="000000"/>
                <w:sz w:val="18"/>
                <w:szCs w:val="18"/>
              </w:rPr>
            </w:pPr>
            <w:r>
              <w:rPr>
                <w:rFonts w:hint="eastAsia" w:ascii="宋体" w:hAnsi="宋体"/>
                <w:color w:val="000000"/>
                <w:sz w:val="18"/>
                <w:szCs w:val="18"/>
              </w:rPr>
              <w:t>宜开展简单能源审计，进一步挖掘节能潜力，实施短期内可以提高能源资源使用效率的措施。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gridSpan w:val="2"/>
            <w:vAlign w:val="center"/>
          </w:tcPr>
          <w:p>
            <w:pPr>
              <w:pStyle w:val="51"/>
              <w:rPr>
                <w:rFonts w:hint="eastAsia"/>
                <w:color w:val="000000"/>
              </w:rPr>
            </w:pPr>
            <w:r>
              <w:rPr>
                <w:rFonts w:hint="eastAsia"/>
                <w:color w:val="000000"/>
              </w:rPr>
              <w:t>X为医疗机构的单位面积建筑能耗、床均综合能耗、床均综合水耗。</w:t>
            </w:r>
          </w:p>
        </w:tc>
      </w:tr>
    </w:tbl>
    <w:p>
      <w:pPr>
        <w:pStyle w:val="20"/>
        <w:rPr>
          <w:color w:val="000000"/>
        </w:rPr>
      </w:pPr>
    </w:p>
    <w:p>
      <w:pPr>
        <w:pStyle w:val="65"/>
        <w:rPr>
          <w:rFonts w:hint="eastAsia"/>
          <w:color w:val="000000"/>
        </w:rPr>
      </w:pPr>
      <w:bookmarkStart w:id="43" w:name="BKCKWX"/>
      <w:bookmarkStart w:id="44" w:name="_Toc415087597"/>
      <w:bookmarkStart w:id="45" w:name="_Toc415170134"/>
      <w:r>
        <w:rPr>
          <w:rFonts w:hint="eastAsia"/>
          <w:color w:val="000000"/>
        </w:rPr>
        <w:t>参</w:t>
      </w:r>
      <w:r>
        <w:rPr>
          <w:rFonts w:hint="eastAsia" w:ascii="MS Mincho" w:hAnsi="MS Mincho" w:eastAsia="MS Mincho" w:cs="MS Mincho"/>
          <w:color w:val="000000"/>
        </w:rPr>
        <w:t> </w:t>
      </w:r>
      <w:r>
        <w:rPr>
          <w:rFonts w:hint="eastAsia"/>
          <w:color w:val="000000"/>
        </w:rPr>
        <w:t>考</w:t>
      </w:r>
      <w:r>
        <w:rPr>
          <w:rFonts w:hint="eastAsia" w:ascii="MS Mincho" w:hAnsi="MS Mincho" w:eastAsia="MS Mincho" w:cs="MS Mincho"/>
          <w:color w:val="000000"/>
        </w:rPr>
        <w:t> </w:t>
      </w:r>
      <w:r>
        <w:rPr>
          <w:rFonts w:hint="eastAsia"/>
          <w:color w:val="000000"/>
        </w:rPr>
        <w:t>文</w:t>
      </w:r>
      <w:r>
        <w:rPr>
          <w:rFonts w:hint="eastAsia" w:ascii="MS Mincho" w:hAnsi="MS Mincho" w:eastAsia="MS Mincho" w:cs="MS Mincho"/>
          <w:color w:val="000000"/>
        </w:rPr>
        <w:t> </w:t>
      </w:r>
      <w:r>
        <w:rPr>
          <w:rFonts w:hint="eastAsia"/>
          <w:color w:val="000000"/>
        </w:rPr>
        <w:t>献</w:t>
      </w:r>
      <w:bookmarkEnd w:id="43"/>
      <w:bookmarkEnd w:id="44"/>
      <w:bookmarkEnd w:id="45"/>
    </w:p>
    <w:p>
      <w:pPr>
        <w:pStyle w:val="20"/>
        <w:rPr>
          <w:rFonts w:hint="eastAsia"/>
          <w:color w:val="000000"/>
        </w:rPr>
      </w:pPr>
      <w:r>
        <w:rPr>
          <w:rFonts w:hint="eastAsia"/>
          <w:color w:val="000000"/>
        </w:rPr>
        <w:t>[1] 《山东省公共机构节能管理办法》</w:t>
      </w:r>
    </w:p>
    <w:p>
      <w:pPr>
        <w:pStyle w:val="20"/>
        <w:rPr>
          <w:rFonts w:hint="eastAsia"/>
          <w:color w:val="000000"/>
        </w:rPr>
      </w:pPr>
      <w:r>
        <w:rPr>
          <w:rFonts w:hint="eastAsia"/>
          <w:color w:val="000000"/>
        </w:rPr>
        <w:t>[2] 《山东省公共机构节能“十二五”规划》</w:t>
      </w:r>
    </w:p>
    <w:p>
      <w:pPr>
        <w:pStyle w:val="20"/>
        <w:rPr>
          <w:rFonts w:hint="eastAsia"/>
          <w:color w:val="000000"/>
        </w:rPr>
      </w:pPr>
      <w:r>
        <w:rPr>
          <w:rFonts w:hint="eastAsia"/>
          <w:color w:val="000000"/>
        </w:rPr>
        <w:t>[3] 《济南市公共机构能源消耗量定额（试行）》</w:t>
      </w:r>
    </w:p>
    <w:p>
      <w:pPr>
        <w:pStyle w:val="20"/>
        <w:rPr>
          <w:rFonts w:hint="eastAsia"/>
          <w:color w:val="000000"/>
        </w:rPr>
      </w:pPr>
      <w:r>
        <w:rPr>
          <w:rFonts w:hint="eastAsia"/>
          <w:color w:val="000000"/>
        </w:rPr>
        <w:t>[4] 《公共机构能源审计》（国家机关事务管理局，2010年3月）</w:t>
      </w:r>
    </w:p>
    <w:p>
      <w:pPr>
        <w:pStyle w:val="20"/>
        <w:rPr>
          <w:rFonts w:hint="eastAsia"/>
          <w:color w:val="000000"/>
        </w:rPr>
      </w:pPr>
      <w:r>
        <w:rPr>
          <w:rFonts w:hint="eastAsia"/>
          <w:color w:val="000000"/>
        </w:rPr>
        <w:t>[5] 《公共机构能源资源消费统计制度》（国家机关事务管理局，2013年）</w:t>
      </w:r>
    </w:p>
    <w:p>
      <w:pPr>
        <w:pStyle w:val="20"/>
        <w:rPr>
          <w:color w:val="000000"/>
        </w:rPr>
      </w:pPr>
      <w:r>
        <w:rPr>
          <w:rFonts w:hint="eastAsia"/>
          <w:color w:val="000000"/>
        </w:rPr>
        <w:t>[6] 《山东省省（部）属医疗卫生机构、高等医学院校能源、资源消耗量（定额）》（试行）</w:t>
      </w:r>
    </w:p>
    <w:p>
      <w:pPr>
        <w:pStyle w:val="120"/>
        <w:rPr>
          <w:rFonts w:hint="eastAsia"/>
        </w:r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 PAGE  \* MERGEFORMAT </w:instrText>
    </w:r>
    <w:r>
      <w:fldChar w:fldCharType="separate"/>
    </w:r>
    <w:r>
      <w:rPr>
        <w:lang/>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DB37/</w:t>
    </w:r>
    <w:r>
      <w:rPr>
        <w:rFonts w:hint="eastAsia"/>
      </w:rPr>
      <w:t>T</w:t>
    </w:r>
    <w:r>
      <w:t xml:space="preserve"> 2673—2015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5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2"/>
      <w:suff w:val="nothing"/>
      <w:lvlText w:val="%1——"/>
      <w:lvlJc w:val="left"/>
      <w:pPr>
        <w:ind w:left="833" w:hanging="408"/>
      </w:pPr>
      <w:rPr>
        <w:rFonts w:hint="eastAsia"/>
      </w:rPr>
    </w:lvl>
    <w:lvl w:ilvl="1" w:tentative="0">
      <w:start w:val="1"/>
      <w:numFmt w:val="bullet"/>
      <w:pStyle w:val="43"/>
      <w:lvlText w:val=""/>
      <w:lvlJc w:val="left"/>
      <w:pPr>
        <w:tabs>
          <w:tab w:val="left" w:pos="760"/>
        </w:tabs>
        <w:ind w:left="1264" w:hanging="413"/>
      </w:pPr>
      <w:rPr>
        <w:rFonts w:hint="default" w:ascii="Symbol" w:hAnsi="Symbol"/>
        <w:color w:val="auto"/>
      </w:rPr>
    </w:lvl>
    <w:lvl w:ilvl="2" w:tentative="0">
      <w:start w:val="1"/>
      <w:numFmt w:val="bullet"/>
      <w:pStyle w:val="5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8"/>
      <w:lvlText w:val="%2)"/>
      <w:lvlJc w:val="left"/>
      <w:pPr>
        <w:tabs>
          <w:tab w:val="left" w:pos="1260"/>
        </w:tabs>
        <w:ind w:left="1259" w:hanging="419"/>
      </w:pPr>
      <w:rPr>
        <w:rFonts w:hint="eastAsia"/>
      </w:rPr>
    </w:lvl>
    <w:lvl w:ilvl="2" w:tentative="0">
      <w:start w:val="1"/>
      <w:numFmt w:val="decimal"/>
      <w:pStyle w:val="5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9"/>
      <w:lvlText w:val="%1"/>
      <w:lvlJc w:val="left"/>
      <w:pPr>
        <w:tabs>
          <w:tab w:val="left" w:pos="0"/>
        </w:tabs>
        <w:ind w:left="0" w:hanging="425"/>
      </w:pPr>
      <w:rPr>
        <w:rFonts w:hint="eastAsia"/>
      </w:rPr>
    </w:lvl>
    <w:lvl w:ilvl="1" w:tentative="0">
      <w:start w:val="1"/>
      <w:numFmt w:val="decimal"/>
      <w:pStyle w:val="8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5C7D"/>
    <w:rsid w:val="00000244"/>
    <w:rsid w:val="0000185F"/>
    <w:rsid w:val="0000586F"/>
    <w:rsid w:val="00013D86"/>
    <w:rsid w:val="00013E02"/>
    <w:rsid w:val="0002143C"/>
    <w:rsid w:val="00025A65"/>
    <w:rsid w:val="00025A82"/>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516F3"/>
    <w:rsid w:val="001620A5"/>
    <w:rsid w:val="00164E53"/>
    <w:rsid w:val="0016699D"/>
    <w:rsid w:val="00175159"/>
    <w:rsid w:val="00176208"/>
    <w:rsid w:val="0018211B"/>
    <w:rsid w:val="001840D3"/>
    <w:rsid w:val="001900F8"/>
    <w:rsid w:val="00191258"/>
    <w:rsid w:val="00192680"/>
    <w:rsid w:val="00193037"/>
    <w:rsid w:val="00193A2C"/>
    <w:rsid w:val="001A288E"/>
    <w:rsid w:val="001B3DD6"/>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63634"/>
    <w:rsid w:val="002778AE"/>
    <w:rsid w:val="0028269A"/>
    <w:rsid w:val="00283590"/>
    <w:rsid w:val="00286973"/>
    <w:rsid w:val="00294E70"/>
    <w:rsid w:val="00295F18"/>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55471"/>
    <w:rsid w:val="003609D2"/>
    <w:rsid w:val="00363F22"/>
    <w:rsid w:val="00375564"/>
    <w:rsid w:val="00383191"/>
    <w:rsid w:val="003863A3"/>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05D24"/>
    <w:rsid w:val="00425082"/>
    <w:rsid w:val="00431DEB"/>
    <w:rsid w:val="00446B29"/>
    <w:rsid w:val="00453F9A"/>
    <w:rsid w:val="00462081"/>
    <w:rsid w:val="00471E91"/>
    <w:rsid w:val="00474675"/>
    <w:rsid w:val="0047470C"/>
    <w:rsid w:val="004A35F9"/>
    <w:rsid w:val="004B24C1"/>
    <w:rsid w:val="004C292F"/>
    <w:rsid w:val="004C4A1F"/>
    <w:rsid w:val="004E04C2"/>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D152B"/>
    <w:rsid w:val="005E19E7"/>
    <w:rsid w:val="005F7EDD"/>
    <w:rsid w:val="0061716C"/>
    <w:rsid w:val="006243A1"/>
    <w:rsid w:val="00632E56"/>
    <w:rsid w:val="00635CBA"/>
    <w:rsid w:val="0064338B"/>
    <w:rsid w:val="00646542"/>
    <w:rsid w:val="006504F4"/>
    <w:rsid w:val="00654BC9"/>
    <w:rsid w:val="00654FF3"/>
    <w:rsid w:val="006552FD"/>
    <w:rsid w:val="00663AF3"/>
    <w:rsid w:val="00666B6C"/>
    <w:rsid w:val="00682682"/>
    <w:rsid w:val="00682702"/>
    <w:rsid w:val="00692368"/>
    <w:rsid w:val="006A2EBC"/>
    <w:rsid w:val="006A5EA0"/>
    <w:rsid w:val="006A783B"/>
    <w:rsid w:val="006A7B33"/>
    <w:rsid w:val="006B4E13"/>
    <w:rsid w:val="006B75DD"/>
    <w:rsid w:val="006C5C02"/>
    <w:rsid w:val="006C67E0"/>
    <w:rsid w:val="006C7ABA"/>
    <w:rsid w:val="006D0D60"/>
    <w:rsid w:val="006D1122"/>
    <w:rsid w:val="006D3C00"/>
    <w:rsid w:val="006D4647"/>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5BB8"/>
    <w:rsid w:val="008F6758"/>
    <w:rsid w:val="009040DD"/>
    <w:rsid w:val="00905B47"/>
    <w:rsid w:val="0091331C"/>
    <w:rsid w:val="00921698"/>
    <w:rsid w:val="009279DE"/>
    <w:rsid w:val="00930116"/>
    <w:rsid w:val="0094212C"/>
    <w:rsid w:val="00954689"/>
    <w:rsid w:val="009617C9"/>
    <w:rsid w:val="00961C93"/>
    <w:rsid w:val="00962256"/>
    <w:rsid w:val="00962A44"/>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9F7D36"/>
    <w:rsid w:val="00A02E43"/>
    <w:rsid w:val="00A065F9"/>
    <w:rsid w:val="00A07F34"/>
    <w:rsid w:val="00A22154"/>
    <w:rsid w:val="00A25C38"/>
    <w:rsid w:val="00A36BBE"/>
    <w:rsid w:val="00A4307A"/>
    <w:rsid w:val="00A47EBB"/>
    <w:rsid w:val="00A51CDD"/>
    <w:rsid w:val="00A53BFA"/>
    <w:rsid w:val="00A6730D"/>
    <w:rsid w:val="00A71625"/>
    <w:rsid w:val="00A71B9B"/>
    <w:rsid w:val="00A751C7"/>
    <w:rsid w:val="00A87844"/>
    <w:rsid w:val="00AA038C"/>
    <w:rsid w:val="00AA7A09"/>
    <w:rsid w:val="00AB3B50"/>
    <w:rsid w:val="00AC05B1"/>
    <w:rsid w:val="00AD356C"/>
    <w:rsid w:val="00AD3FFA"/>
    <w:rsid w:val="00AE2914"/>
    <w:rsid w:val="00AE3DE1"/>
    <w:rsid w:val="00AE6D15"/>
    <w:rsid w:val="00B04182"/>
    <w:rsid w:val="00B07AE3"/>
    <w:rsid w:val="00B11430"/>
    <w:rsid w:val="00B13E97"/>
    <w:rsid w:val="00B14AE6"/>
    <w:rsid w:val="00B353EB"/>
    <w:rsid w:val="00B439C4"/>
    <w:rsid w:val="00B4535E"/>
    <w:rsid w:val="00B52A8C"/>
    <w:rsid w:val="00B636A8"/>
    <w:rsid w:val="00B665C6"/>
    <w:rsid w:val="00B736A0"/>
    <w:rsid w:val="00B805AF"/>
    <w:rsid w:val="00B869EC"/>
    <w:rsid w:val="00B9397A"/>
    <w:rsid w:val="00B9633D"/>
    <w:rsid w:val="00BA2EBE"/>
    <w:rsid w:val="00BA3897"/>
    <w:rsid w:val="00BB0F28"/>
    <w:rsid w:val="00BB37D2"/>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07D2"/>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3F62"/>
    <w:rsid w:val="00D847FE"/>
    <w:rsid w:val="00D964EA"/>
    <w:rsid w:val="00D966D0"/>
    <w:rsid w:val="00DA0C59"/>
    <w:rsid w:val="00DA3991"/>
    <w:rsid w:val="00DB7E6C"/>
    <w:rsid w:val="00DD5A29"/>
    <w:rsid w:val="00DD5D9D"/>
    <w:rsid w:val="00DE35CB"/>
    <w:rsid w:val="00DF21E9"/>
    <w:rsid w:val="00E00F14"/>
    <w:rsid w:val="00E06386"/>
    <w:rsid w:val="00E211DC"/>
    <w:rsid w:val="00E24EB4"/>
    <w:rsid w:val="00E320ED"/>
    <w:rsid w:val="00E33AFB"/>
    <w:rsid w:val="00E34218"/>
    <w:rsid w:val="00E46282"/>
    <w:rsid w:val="00E5216E"/>
    <w:rsid w:val="00E63BDA"/>
    <w:rsid w:val="00E82344"/>
    <w:rsid w:val="00E84C82"/>
    <w:rsid w:val="00E84D64"/>
    <w:rsid w:val="00E8564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0C6"/>
    <w:rsid w:val="00F11BB5"/>
    <w:rsid w:val="00F1417B"/>
    <w:rsid w:val="00F34B99"/>
    <w:rsid w:val="00F43779"/>
    <w:rsid w:val="00F52DAB"/>
    <w:rsid w:val="00F543F0"/>
    <w:rsid w:val="00F81D29"/>
    <w:rsid w:val="00F91C4D"/>
    <w:rsid w:val="00F92FD9"/>
    <w:rsid w:val="00FA6684"/>
    <w:rsid w:val="00FA731E"/>
    <w:rsid w:val="00FB2B38"/>
    <w:rsid w:val="00FC42D1"/>
    <w:rsid w:val="00FC6358"/>
    <w:rsid w:val="00FD320D"/>
    <w:rsid w:val="00FE23DE"/>
    <w:rsid w:val="2F345C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8">
    <w:name w:val="Default Paragraph Font"/>
    <w:semiHidden/>
    <w:uiPriority w:val="0"/>
  </w:style>
  <w:style w:type="table" w:default="1" w:styleId="34">
    <w:name w:val="Normal Table"/>
    <w:semiHidden/>
    <w:uiPriority w:val="0"/>
    <w:tblPr>
      <w:tblStyle w:val="34"/>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uiPriority w:val="39"/>
    <w:pPr>
      <w:tabs>
        <w:tab w:val="right" w:leader="dot" w:pos="9241"/>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198"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128"/>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3"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1"/>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character" w:styleId="29">
    <w:name w:val="endnote reference"/>
    <w:basedOn w:val="28"/>
    <w:semiHidden/>
    <w:uiPriority w:val="0"/>
    <w:rPr>
      <w:vertAlign w:val="superscript"/>
    </w:rPr>
  </w:style>
  <w:style w:type="character" w:styleId="30">
    <w:name w:val="page number"/>
    <w:basedOn w:val="28"/>
    <w:uiPriority w:val="0"/>
    <w:rPr>
      <w:rFonts w:ascii="Times New Roman" w:hAnsi="Times New Roman" w:eastAsia="宋体"/>
      <w:sz w:val="18"/>
    </w:rPr>
  </w:style>
  <w:style w:type="character" w:styleId="31">
    <w:name w:val="FollowedHyperlink"/>
    <w:basedOn w:val="28"/>
    <w:uiPriority w:val="0"/>
    <w:rPr>
      <w:color w:val="800080"/>
      <w:u w:val="single"/>
    </w:rPr>
  </w:style>
  <w:style w:type="character" w:styleId="32">
    <w:name w:val="Hyperlink"/>
    <w:basedOn w:val="28"/>
    <w:uiPriority w:val="99"/>
    <w:rPr>
      <w:color w:val="0000FF"/>
      <w:spacing w:val="0"/>
      <w:w w:val="100"/>
      <w:szCs w:val="21"/>
      <w:u w:val="single"/>
      <w:lang/>
    </w:rPr>
  </w:style>
  <w:style w:type="character" w:styleId="33">
    <w:name w:val="footnote reference"/>
    <w:basedOn w:val="28"/>
    <w:semiHidden/>
    <w:uiPriority w:val="0"/>
    <w:rPr>
      <w:vertAlign w:val="superscript"/>
    </w:rPr>
  </w:style>
  <w:style w:type="table" w:styleId="35">
    <w:name w:val="Table Grid"/>
    <w:basedOn w:val="34"/>
    <w:uiPriority w:val="0"/>
    <w:rPr>
      <w:rFonts w:ascii="宋体"/>
      <w:sz w:val="18"/>
      <w:szCs w:val="18"/>
    </w:rPr>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6">
    <w:name w:val="一级条标题"/>
    <w:next w:val="20"/>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37">
    <w:name w:val="标准书脚_奇数页"/>
    <w:uiPriority w:val="0"/>
    <w:pPr>
      <w:spacing w:before="120"/>
      <w:ind w:right="198"/>
      <w:jc w:val="right"/>
    </w:pPr>
    <w:rPr>
      <w:rFonts w:ascii="宋体"/>
      <w:sz w:val="18"/>
      <w:szCs w:val="18"/>
      <w:lang w:val="en-US" w:eastAsia="zh-CN" w:bidi="ar-SA"/>
    </w:rPr>
  </w:style>
  <w:style w:type="paragraph" w:customStyle="1" w:styleId="38">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39">
    <w:name w:val="章标题"/>
    <w:next w:val="20"/>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0">
    <w:name w:val="二级条标题"/>
    <w:basedOn w:val="36"/>
    <w:next w:val="20"/>
    <w:uiPriority w:val="0"/>
    <w:pPr>
      <w:numPr>
        <w:ilvl w:val="2"/>
        <w:numId w:val="2"/>
      </w:numPr>
      <w:spacing w:before="50" w:after="50"/>
      <w:outlineLvl w:val="3"/>
    </w:pPr>
  </w:style>
  <w:style w:type="paragraph" w:customStyle="1" w:styleId="41">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2">
    <w:name w:val="列项——（一级）"/>
    <w:uiPriority w:val="0"/>
    <w:pPr>
      <w:widowControl w:val="0"/>
      <w:numPr>
        <w:ilvl w:val="0"/>
        <w:numId w:val="3"/>
      </w:numPr>
      <w:jc w:val="both"/>
    </w:pPr>
    <w:rPr>
      <w:rFonts w:ascii="宋体"/>
      <w:sz w:val="21"/>
      <w:lang w:val="en-US" w:eastAsia="zh-CN" w:bidi="ar-SA"/>
    </w:rPr>
  </w:style>
  <w:style w:type="paragraph" w:customStyle="1" w:styleId="43">
    <w:name w:val="列项●（二级）"/>
    <w:uiPriority w:val="0"/>
    <w:pPr>
      <w:numPr>
        <w:ilvl w:val="1"/>
        <w:numId w:val="3"/>
      </w:numPr>
      <w:tabs>
        <w:tab w:val="left" w:pos="840"/>
      </w:tabs>
      <w:jc w:val="both"/>
    </w:pPr>
    <w:rPr>
      <w:rFonts w:ascii="宋体"/>
      <w:sz w:val="21"/>
      <w:lang w:val="en-US" w:eastAsia="zh-CN" w:bidi="ar-SA"/>
    </w:rPr>
  </w:style>
  <w:style w:type="paragraph" w:customStyle="1" w:styleId="44">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5">
    <w:name w:val="三级条标题"/>
    <w:basedOn w:val="40"/>
    <w:next w:val="20"/>
    <w:uiPriority w:val="0"/>
    <w:pPr>
      <w:numPr>
        <w:ilvl w:val="3"/>
        <w:numId w:val="2"/>
      </w:numPr>
      <w:outlineLvl w:val="4"/>
    </w:pPr>
  </w:style>
  <w:style w:type="paragraph" w:customStyle="1" w:styleId="46">
    <w:name w:val="示例"/>
    <w:next w:val="47"/>
    <w:uiPriority w:val="0"/>
    <w:pPr>
      <w:widowControl w:val="0"/>
      <w:numPr>
        <w:ilvl w:val="0"/>
        <w:numId w:val="4"/>
      </w:numPr>
      <w:jc w:val="both"/>
    </w:pPr>
    <w:rPr>
      <w:rFonts w:ascii="宋体"/>
      <w:sz w:val="18"/>
      <w:szCs w:val="18"/>
      <w:lang w:val="en-US" w:eastAsia="zh-CN" w:bidi="ar-SA"/>
    </w:rPr>
  </w:style>
  <w:style w:type="paragraph" w:customStyle="1" w:styleId="47">
    <w:name w:val="示例内容"/>
    <w:uiPriority w:val="0"/>
    <w:pPr>
      <w:ind w:firstLine="200" w:firstLineChars="200"/>
    </w:pPr>
    <w:rPr>
      <w:rFonts w:ascii="宋体"/>
      <w:sz w:val="18"/>
      <w:szCs w:val="18"/>
      <w:lang w:val="en-US" w:eastAsia="zh-CN" w:bidi="ar-SA"/>
    </w:rPr>
  </w:style>
  <w:style w:type="paragraph" w:customStyle="1" w:styleId="48">
    <w:name w:val="数字编号列项（二级）"/>
    <w:uiPriority w:val="0"/>
    <w:pPr>
      <w:numPr>
        <w:ilvl w:val="1"/>
        <w:numId w:val="5"/>
      </w:numPr>
      <w:jc w:val="both"/>
    </w:pPr>
    <w:rPr>
      <w:rFonts w:ascii="宋体"/>
      <w:sz w:val="21"/>
      <w:lang w:val="en-US" w:eastAsia="zh-CN" w:bidi="ar-SA"/>
    </w:rPr>
  </w:style>
  <w:style w:type="paragraph" w:customStyle="1" w:styleId="49">
    <w:name w:val="四级条标题"/>
    <w:basedOn w:val="45"/>
    <w:next w:val="20"/>
    <w:uiPriority w:val="0"/>
    <w:pPr>
      <w:numPr>
        <w:ilvl w:val="4"/>
        <w:numId w:val="2"/>
      </w:numPr>
      <w:outlineLvl w:val="5"/>
    </w:pPr>
  </w:style>
  <w:style w:type="paragraph" w:customStyle="1" w:styleId="50">
    <w:name w:val="五级条标题"/>
    <w:basedOn w:val="49"/>
    <w:next w:val="20"/>
    <w:uiPriority w:val="0"/>
    <w:pPr>
      <w:numPr>
        <w:ilvl w:val="5"/>
        <w:numId w:val="2"/>
      </w:numPr>
      <w:outlineLvl w:val="6"/>
    </w:pPr>
  </w:style>
  <w:style w:type="paragraph" w:customStyle="1" w:styleId="51">
    <w:name w:val="注："/>
    <w:next w:val="20"/>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2">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3">
    <w:name w:val="字母编号列项（一级）"/>
    <w:uiPriority w:val="0"/>
    <w:pPr>
      <w:numPr>
        <w:ilvl w:val="0"/>
        <w:numId w:val="5"/>
      </w:numPr>
      <w:jc w:val="both"/>
    </w:pPr>
    <w:rPr>
      <w:rFonts w:ascii="宋体"/>
      <w:sz w:val="21"/>
      <w:lang w:val="en-US" w:eastAsia="zh-CN" w:bidi="ar-SA"/>
    </w:rPr>
  </w:style>
  <w:style w:type="paragraph" w:customStyle="1" w:styleId="54">
    <w:name w:val="列项◆（三级）"/>
    <w:basedOn w:val="1"/>
    <w:uiPriority w:val="0"/>
    <w:pPr>
      <w:numPr>
        <w:ilvl w:val="2"/>
        <w:numId w:val="3"/>
      </w:numPr>
    </w:pPr>
    <w:rPr>
      <w:rFonts w:ascii="宋体"/>
      <w:szCs w:val="21"/>
    </w:rPr>
  </w:style>
  <w:style w:type="paragraph" w:customStyle="1" w:styleId="55">
    <w:name w:val="编号列项（三级）"/>
    <w:uiPriority w:val="0"/>
    <w:pPr>
      <w:numPr>
        <w:ilvl w:val="2"/>
        <w:numId w:val="5"/>
      </w:numPr>
    </w:pPr>
    <w:rPr>
      <w:rFonts w:ascii="宋体"/>
      <w:sz w:val="21"/>
      <w:lang w:val="en-US" w:eastAsia="zh-CN" w:bidi="ar-SA"/>
    </w:rPr>
  </w:style>
  <w:style w:type="paragraph" w:customStyle="1" w:styleId="56">
    <w:name w:val="示例×："/>
    <w:basedOn w:val="39"/>
    <w:qFormat/>
    <w:uiPriority w:val="0"/>
    <w:pPr>
      <w:numPr>
        <w:ilvl w:val="0"/>
        <w:numId w:val="8"/>
      </w:numPr>
      <w:spacing w:before="0" w:beforeLines="0" w:after="0" w:afterLines="0"/>
      <w:outlineLvl w:val="9"/>
    </w:pPr>
    <w:rPr>
      <w:rFonts w:ascii="宋体" w:eastAsia="宋体"/>
      <w:sz w:val="18"/>
      <w:szCs w:val="18"/>
    </w:rPr>
  </w:style>
  <w:style w:type="paragraph" w:customStyle="1" w:styleId="57">
    <w:name w:val="二级无"/>
    <w:basedOn w:val="40"/>
    <w:uiPriority w:val="0"/>
    <w:pPr>
      <w:spacing w:before="0" w:beforeLines="0" w:after="0" w:afterLines="0"/>
      <w:ind w:left="0" w:firstLine="0"/>
    </w:pPr>
    <w:rPr>
      <w:rFonts w:ascii="宋体" w:eastAsia="宋体"/>
    </w:rPr>
  </w:style>
  <w:style w:type="paragraph" w:customStyle="1" w:styleId="58">
    <w:name w:val="注：（正文）"/>
    <w:basedOn w:val="51"/>
    <w:next w:val="20"/>
    <w:uiPriority w:val="0"/>
  </w:style>
  <w:style w:type="paragraph" w:customStyle="1" w:styleId="59">
    <w:name w:val="注×：（正文）"/>
    <w:uiPriority w:val="0"/>
    <w:pPr>
      <w:numPr>
        <w:ilvl w:val="0"/>
        <w:numId w:val="9"/>
      </w:numPr>
      <w:jc w:val="both"/>
    </w:pPr>
    <w:rPr>
      <w:rFonts w:ascii="宋体"/>
      <w:sz w:val="18"/>
      <w:szCs w:val="18"/>
      <w:lang w:val="en-US" w:eastAsia="zh-CN" w:bidi="ar-SA"/>
    </w:rPr>
  </w:style>
  <w:style w:type="paragraph" w:customStyle="1" w:styleId="60">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2">
    <w:name w:val="标准书脚_偶数页"/>
    <w:uiPriority w:val="0"/>
    <w:pPr>
      <w:spacing w:before="120"/>
      <w:ind w:left="221"/>
    </w:pPr>
    <w:rPr>
      <w:rFonts w:ascii="宋体"/>
      <w:sz w:val="18"/>
      <w:szCs w:val="18"/>
      <w:lang w:val="en-US" w:eastAsia="zh-CN" w:bidi="ar-SA"/>
    </w:rPr>
  </w:style>
  <w:style w:type="paragraph" w:customStyle="1" w:styleId="63">
    <w:name w:val="标准书眉_偶数页"/>
    <w:basedOn w:val="38"/>
    <w:next w:val="1"/>
    <w:uiPriority w:val="0"/>
    <w:pPr>
      <w:jc w:val="left"/>
    </w:pPr>
    <w:rPr>
      <w:rFonts w:ascii="黑体" w:eastAsia="黑体"/>
    </w:rPr>
  </w:style>
  <w:style w:type="paragraph" w:customStyle="1" w:styleId="64">
    <w:name w:val="标准书眉一"/>
    <w:uiPriority w:val="0"/>
    <w:pPr>
      <w:jc w:val="both"/>
    </w:pPr>
    <w:rPr>
      <w:lang w:val="en-US" w:eastAsia="zh-CN" w:bidi="ar-SA"/>
    </w:rPr>
  </w:style>
  <w:style w:type="paragraph" w:customStyle="1" w:styleId="65">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68">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69">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0">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2">
    <w:name w:val="封面标准英文名称"/>
    <w:basedOn w:val="71"/>
    <w:uiPriority w:val="0"/>
    <w:pPr>
      <w:spacing w:before="370" w:line="400" w:lineRule="exact"/>
    </w:pPr>
    <w:rPr>
      <w:rFonts w:ascii="Times New Roman"/>
      <w:sz w:val="28"/>
      <w:szCs w:val="28"/>
    </w:rPr>
  </w:style>
  <w:style w:type="paragraph" w:customStyle="1" w:styleId="73">
    <w:name w:val="封面一致性程度标识"/>
    <w:basedOn w:val="72"/>
    <w:uiPriority w:val="0"/>
    <w:pPr>
      <w:spacing w:before="440"/>
    </w:pPr>
    <w:rPr>
      <w:rFonts w:ascii="宋体" w:eastAsia="宋体"/>
    </w:rPr>
  </w:style>
  <w:style w:type="paragraph" w:customStyle="1" w:styleId="74">
    <w:name w:val="封面标准文稿类别"/>
    <w:basedOn w:val="73"/>
    <w:uiPriority w:val="0"/>
    <w:pPr>
      <w:spacing w:after="160" w:line="240" w:lineRule="auto"/>
    </w:pPr>
    <w:rPr>
      <w:sz w:val="24"/>
    </w:rPr>
  </w:style>
  <w:style w:type="paragraph" w:customStyle="1" w:styleId="75">
    <w:name w:val="封面标准文稿编辑信息"/>
    <w:basedOn w:val="74"/>
    <w:uiPriority w:val="0"/>
    <w:pPr>
      <w:spacing w:before="180" w:line="180" w:lineRule="exact"/>
    </w:pPr>
    <w:rPr>
      <w:sz w:val="21"/>
    </w:rPr>
  </w:style>
  <w:style w:type="paragraph" w:customStyle="1" w:styleId="76">
    <w:name w:val="封面正文"/>
    <w:uiPriority w:val="0"/>
    <w:pPr>
      <w:jc w:val="both"/>
    </w:pPr>
    <w:rPr>
      <w:lang w:val="en-US" w:eastAsia="zh-CN" w:bidi="ar-SA"/>
    </w:rPr>
  </w:style>
  <w:style w:type="paragraph" w:customStyle="1" w:styleId="77">
    <w:name w:val="附录标识"/>
    <w:basedOn w:val="1"/>
    <w:next w:val="20"/>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8">
    <w:name w:val="附录标题"/>
    <w:basedOn w:val="20"/>
    <w:next w:val="20"/>
    <w:uiPriority w:val="0"/>
    <w:pPr>
      <w:ind w:firstLine="0" w:firstLineChars="0"/>
      <w:jc w:val="center"/>
    </w:pPr>
    <w:rPr>
      <w:rFonts w:ascii="黑体" w:eastAsia="黑体"/>
    </w:rPr>
  </w:style>
  <w:style w:type="paragraph" w:customStyle="1" w:styleId="79">
    <w:name w:val="附录表标号"/>
    <w:basedOn w:val="1"/>
    <w:next w:val="20"/>
    <w:uiPriority w:val="0"/>
    <w:pPr>
      <w:numPr>
        <w:ilvl w:val="0"/>
        <w:numId w:val="11"/>
      </w:numPr>
      <w:tabs>
        <w:tab w:val="clear" w:pos="0"/>
      </w:tabs>
      <w:spacing w:line="14" w:lineRule="exact"/>
      <w:ind w:left="811" w:hanging="448"/>
      <w:jc w:val="center"/>
      <w:outlineLvl w:val="0"/>
    </w:pPr>
    <w:rPr>
      <w:color w:val="FFFFFF"/>
    </w:rPr>
  </w:style>
  <w:style w:type="paragraph" w:customStyle="1" w:styleId="80">
    <w:name w:val="附录表标题"/>
    <w:basedOn w:val="1"/>
    <w:next w:val="20"/>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1">
    <w:name w:val="附录二级条标题"/>
    <w:basedOn w:val="1"/>
    <w:next w:val="20"/>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附录二级无"/>
    <w:basedOn w:val="81"/>
    <w:uiPriority w:val="0"/>
    <w:pPr>
      <w:tabs>
        <w:tab w:val="clear" w:pos="360"/>
      </w:tabs>
      <w:spacing w:before="0" w:beforeLines="0" w:after="0" w:afterLines="0"/>
    </w:pPr>
    <w:rPr>
      <w:rFonts w:ascii="宋体" w:eastAsia="宋体"/>
      <w:szCs w:val="21"/>
    </w:rPr>
  </w:style>
  <w:style w:type="paragraph" w:customStyle="1" w:styleId="83">
    <w:name w:val="附录公式"/>
    <w:basedOn w:val="20"/>
    <w:next w:val="20"/>
    <w:link w:val="130"/>
    <w:qFormat/>
    <w:uiPriority w:val="0"/>
  </w:style>
  <w:style w:type="paragraph" w:customStyle="1" w:styleId="84">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85">
    <w:name w:val="附录三级条标题"/>
    <w:basedOn w:val="81"/>
    <w:next w:val="20"/>
    <w:uiPriority w:val="0"/>
    <w:pPr>
      <w:numPr>
        <w:ilvl w:val="4"/>
        <w:numId w:val="10"/>
      </w:numPr>
      <w:outlineLvl w:val="4"/>
    </w:pPr>
  </w:style>
  <w:style w:type="paragraph" w:customStyle="1" w:styleId="86">
    <w:name w:val="附录三级无"/>
    <w:basedOn w:val="85"/>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2"/>
      </w:numPr>
    </w:pPr>
    <w:rPr>
      <w:rFonts w:ascii="宋体"/>
      <w:sz w:val="21"/>
      <w:lang w:val="en-US" w:eastAsia="zh-CN" w:bidi="ar-SA"/>
    </w:rPr>
  </w:style>
  <w:style w:type="paragraph" w:customStyle="1" w:styleId="88">
    <w:name w:val="附录四级条标题"/>
    <w:basedOn w:val="85"/>
    <w:next w:val="20"/>
    <w:uiPriority w:val="0"/>
    <w:pPr>
      <w:numPr>
        <w:ilvl w:val="5"/>
        <w:numId w:val="10"/>
      </w:numPr>
      <w:outlineLvl w:val="5"/>
    </w:pPr>
  </w:style>
  <w:style w:type="paragraph" w:customStyle="1" w:styleId="89">
    <w:name w:val="附录四级无"/>
    <w:basedOn w:val="88"/>
    <w:uiPriority w:val="0"/>
    <w:pPr>
      <w:tabs>
        <w:tab w:val="clear" w:pos="360"/>
      </w:tabs>
      <w:spacing w:before="0" w:beforeLines="0" w:after="0" w:afterLines="0"/>
    </w:pPr>
    <w:rPr>
      <w:rFonts w:ascii="宋体" w:eastAsia="宋体"/>
      <w:szCs w:val="21"/>
    </w:rPr>
  </w:style>
  <w:style w:type="paragraph" w:customStyle="1" w:styleId="90">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1">
    <w:name w:val="附录图标题"/>
    <w:basedOn w:val="1"/>
    <w:next w:val="20"/>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20"/>
    <w:uiPriority w:val="0"/>
    <w:pPr>
      <w:numPr>
        <w:ilvl w:val="6"/>
        <w:numId w:val="10"/>
      </w:numPr>
      <w:outlineLvl w:val="6"/>
    </w:pPr>
  </w:style>
  <w:style w:type="paragraph" w:customStyle="1" w:styleId="93">
    <w:name w:val="附录五级无"/>
    <w:basedOn w:val="92"/>
    <w:uiPriority w:val="0"/>
    <w:pPr>
      <w:tabs>
        <w:tab w:val="clear" w:pos="360"/>
      </w:tabs>
      <w:spacing w:before="0" w:beforeLines="0" w:after="0" w:afterLines="0"/>
    </w:pPr>
    <w:rPr>
      <w:rFonts w:ascii="宋体" w:eastAsia="宋体"/>
      <w:szCs w:val="21"/>
    </w:rPr>
  </w:style>
  <w:style w:type="paragraph" w:customStyle="1" w:styleId="94">
    <w:name w:val="附录章标题"/>
    <w:next w:val="20"/>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5">
    <w:name w:val="附录一级条标题"/>
    <w:basedOn w:val="94"/>
    <w:next w:val="20"/>
    <w:uiPriority w:val="0"/>
    <w:pPr>
      <w:numPr>
        <w:ilvl w:val="2"/>
        <w:numId w:val="10"/>
      </w:numPr>
      <w:autoSpaceDN w:val="0"/>
      <w:spacing w:before="50" w:beforeLines="50" w:after="50" w:afterLines="50"/>
      <w:outlineLvl w:val="2"/>
    </w:pPr>
  </w:style>
  <w:style w:type="paragraph" w:customStyle="1" w:styleId="96">
    <w:name w:val="附录一级无"/>
    <w:basedOn w:val="95"/>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2"/>
      </w:numPr>
    </w:pPr>
    <w:rPr>
      <w:rFonts w:ascii="宋体"/>
      <w:sz w:val="21"/>
      <w:lang w:val="en-US" w:eastAsia="zh-CN" w:bidi="ar-SA"/>
    </w:rPr>
  </w:style>
  <w:style w:type="paragraph" w:customStyle="1" w:styleId="9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uiPriority w:val="0"/>
    <w:pPr>
      <w:ind w:left="600" w:leftChars="400" w:hanging="200" w:hangingChars="200"/>
    </w:pPr>
    <w:rPr>
      <w:rFonts w:ascii="宋体"/>
      <w:sz w:val="21"/>
      <w:lang w:val="en-US" w:eastAsia="zh-CN" w:bidi="ar-SA"/>
    </w:rPr>
  </w:style>
  <w:style w:type="paragraph" w:customStyle="1" w:styleId="100">
    <w:name w:val="目次、索引正文"/>
    <w:uiPriority w:val="0"/>
    <w:pPr>
      <w:spacing w:line="320" w:lineRule="exact"/>
      <w:jc w:val="both"/>
    </w:pPr>
    <w:rPr>
      <w:rFonts w:ascii="宋体"/>
      <w:sz w:val="21"/>
      <w:lang w:val="en-US" w:eastAsia="zh-CN" w:bidi="ar-SA"/>
    </w:rPr>
  </w:style>
  <w:style w:type="paragraph" w:customStyle="1" w:styleId="101">
    <w:name w:val="其他标准标志"/>
    <w:basedOn w:val="60"/>
    <w:uiPriority w:val="0"/>
    <w:pPr>
      <w:framePr w:w="6101" w:vAnchor="page" w:hAnchor="page" w:x="4673" w:y="942"/>
    </w:pPr>
    <w:rPr>
      <w:w w:val="130"/>
    </w:rPr>
  </w:style>
  <w:style w:type="paragraph" w:customStyle="1" w:styleId="102">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3">
    <w:name w:val="其他发布部门"/>
    <w:basedOn w:val="67"/>
    <w:uiPriority w:val="0"/>
    <w:pPr>
      <w:framePr w:y="15310"/>
      <w:spacing w:line="0" w:lineRule="atLeast"/>
    </w:pPr>
    <w:rPr>
      <w:rFonts w:ascii="黑体" w:eastAsia="黑体"/>
      <w:b w:val="0"/>
    </w:rPr>
  </w:style>
  <w:style w:type="paragraph" w:customStyle="1" w:styleId="104">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5">
    <w:name w:val="三级无"/>
    <w:basedOn w:val="45"/>
    <w:uiPriority w:val="0"/>
    <w:pPr>
      <w:spacing w:before="0" w:beforeLines="0" w:after="0" w:afterLines="0"/>
    </w:pPr>
    <w:rPr>
      <w:rFonts w:ascii="宋体" w:eastAsia="宋体"/>
    </w:rPr>
  </w:style>
  <w:style w:type="paragraph" w:customStyle="1" w:styleId="106">
    <w:name w:val="实施日期"/>
    <w:basedOn w:val="68"/>
    <w:uiPriority w:val="0"/>
    <w:pPr>
      <w:framePr w:vAnchor="page" w:hAnchor="page"/>
      <w:jc w:val="right"/>
    </w:pPr>
  </w:style>
  <w:style w:type="paragraph" w:customStyle="1" w:styleId="107">
    <w:name w:val="示例后文字"/>
    <w:basedOn w:val="20"/>
    <w:next w:val="20"/>
    <w:qFormat/>
    <w:uiPriority w:val="0"/>
    <w:pPr>
      <w:ind w:firstLine="360"/>
    </w:pPr>
    <w:rPr>
      <w:sz w:val="18"/>
    </w:rPr>
  </w:style>
  <w:style w:type="paragraph" w:customStyle="1" w:styleId="108">
    <w:name w:val="首示例"/>
    <w:next w:val="20"/>
    <w:link w:val="131"/>
    <w:qFormat/>
    <w:uiPriority w:val="0"/>
    <w:pPr>
      <w:numPr>
        <w:ilvl w:val="0"/>
        <w:numId w:val="14"/>
      </w:numPr>
      <w:tabs>
        <w:tab w:val="left" w:pos="360"/>
      </w:tabs>
      <w:ind w:firstLine="0"/>
    </w:pPr>
    <w:rPr>
      <w:rFonts w:ascii="宋体" w:hAnsi="宋体"/>
      <w:kern w:val="2"/>
      <w:sz w:val="18"/>
      <w:szCs w:val="18"/>
      <w:lang w:val="en-US" w:eastAsia="zh-CN" w:bidi="ar-SA"/>
    </w:rPr>
  </w:style>
  <w:style w:type="paragraph" w:customStyle="1" w:styleId="109">
    <w:name w:val="四级无"/>
    <w:basedOn w:val="49"/>
    <w:uiPriority w:val="0"/>
    <w:pPr>
      <w:spacing w:before="0" w:beforeLines="0" w:after="0" w:afterLines="0"/>
    </w:pPr>
    <w:rPr>
      <w:rFonts w:ascii="宋体" w:eastAsia="宋体"/>
    </w:rPr>
  </w:style>
  <w:style w:type="paragraph" w:customStyle="1" w:styleId="110">
    <w:name w:val="条文脚注"/>
    <w:basedOn w:val="21"/>
    <w:uiPriority w:val="0"/>
    <w:pPr>
      <w:numPr>
        <w:ilvl w:val="0"/>
        <w:numId w:val="0"/>
      </w:numPr>
      <w:jc w:val="both"/>
    </w:pPr>
    <w:rPr>
      <w:rFonts w:ascii="宋体"/>
    </w:rPr>
  </w:style>
  <w:style w:type="paragraph" w:customStyle="1" w:styleId="111">
    <w:name w:val="图标脚注说明"/>
    <w:basedOn w:val="20"/>
    <w:uiPriority w:val="0"/>
    <w:pPr>
      <w:ind w:left="840" w:hanging="420" w:firstLineChars="0"/>
    </w:pPr>
    <w:rPr>
      <w:sz w:val="18"/>
      <w:szCs w:val="18"/>
    </w:rPr>
  </w:style>
  <w:style w:type="paragraph" w:customStyle="1" w:styleId="112">
    <w:name w:val="图表脚注说明"/>
    <w:basedOn w:val="1"/>
    <w:uiPriority w:val="0"/>
    <w:pPr>
      <w:numPr>
        <w:ilvl w:val="0"/>
        <w:numId w:val="15"/>
      </w:numPr>
    </w:pPr>
    <w:rPr>
      <w:rFonts w:ascii="宋体"/>
      <w:sz w:val="18"/>
      <w:szCs w:val="18"/>
    </w:rPr>
  </w:style>
  <w:style w:type="paragraph" w:customStyle="1" w:styleId="113">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114">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5">
    <w:name w:val="五级无"/>
    <w:basedOn w:val="50"/>
    <w:uiPriority w:val="0"/>
    <w:pPr>
      <w:spacing w:before="0" w:beforeLines="0" w:after="0" w:afterLines="0"/>
    </w:pPr>
    <w:rPr>
      <w:rFonts w:ascii="宋体" w:eastAsia="宋体"/>
    </w:rPr>
  </w:style>
  <w:style w:type="paragraph" w:customStyle="1" w:styleId="116">
    <w:name w:val="一级无"/>
    <w:basedOn w:val="36"/>
    <w:uiPriority w:val="0"/>
    <w:pPr>
      <w:spacing w:before="0" w:beforeLines="0" w:after="0" w:afterLines="0"/>
    </w:pPr>
    <w:rPr>
      <w:rFonts w:ascii="宋体" w:eastAsia="宋体"/>
    </w:rPr>
  </w:style>
  <w:style w:type="paragraph" w:customStyle="1" w:styleId="117">
    <w:name w:val="正文表标题"/>
    <w:next w:val="20"/>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18">
    <w:name w:val="正文公式编号制表符"/>
    <w:basedOn w:val="20"/>
    <w:next w:val="20"/>
    <w:qFormat/>
    <w:uiPriority w:val="0"/>
    <w:pPr>
      <w:ind w:firstLine="0" w:firstLineChars="0"/>
    </w:pPr>
  </w:style>
  <w:style w:type="paragraph" w:customStyle="1" w:styleId="119">
    <w:name w:val="正文图标题"/>
    <w:next w:val="20"/>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0">
    <w:name w:val="终结线"/>
    <w:basedOn w:val="1"/>
    <w:uiPriority w:val="0"/>
    <w:pPr>
      <w:framePr w:hSpace="181" w:vSpace="181" w:wrap="around" w:vAnchor="text" w:hAnchor="margin" w:xAlign="center" w:y="285"/>
    </w:pPr>
  </w:style>
  <w:style w:type="paragraph" w:customStyle="1" w:styleId="121">
    <w:name w:val="其他发布日期"/>
    <w:basedOn w:val="68"/>
    <w:uiPriority w:val="0"/>
    <w:pPr>
      <w:framePr w:vAnchor="page" w:hAnchor="page" w:x="1419"/>
    </w:pPr>
  </w:style>
  <w:style w:type="paragraph" w:customStyle="1" w:styleId="122">
    <w:name w:val="其他实施日期"/>
    <w:basedOn w:val="106"/>
    <w:uiPriority w:val="0"/>
    <w:pPr>
      <w:framePr/>
    </w:pPr>
  </w:style>
  <w:style w:type="paragraph" w:customStyle="1" w:styleId="123">
    <w:name w:val="封面标准名称2"/>
    <w:basedOn w:val="71"/>
    <w:uiPriority w:val="0"/>
    <w:pPr>
      <w:framePr w:y="4469"/>
      <w:spacing w:before="630" w:beforeLines="630"/>
    </w:pPr>
  </w:style>
  <w:style w:type="paragraph" w:customStyle="1" w:styleId="124">
    <w:name w:val="封面标准英文名称2"/>
    <w:basedOn w:val="72"/>
    <w:uiPriority w:val="0"/>
    <w:pPr>
      <w:framePr w:y="4469"/>
    </w:pPr>
  </w:style>
  <w:style w:type="paragraph" w:customStyle="1" w:styleId="125">
    <w:name w:val="封面一致性程度标识2"/>
    <w:basedOn w:val="73"/>
    <w:uiPriority w:val="0"/>
    <w:pPr>
      <w:framePr w:y="4469"/>
    </w:pPr>
  </w:style>
  <w:style w:type="paragraph" w:customStyle="1" w:styleId="126">
    <w:name w:val="封面标准文稿类别2"/>
    <w:basedOn w:val="74"/>
    <w:uiPriority w:val="0"/>
    <w:pPr>
      <w:framePr w:y="4469"/>
    </w:pPr>
  </w:style>
  <w:style w:type="paragraph" w:customStyle="1" w:styleId="127">
    <w:name w:val="封面标准文稿编辑信息2"/>
    <w:basedOn w:val="75"/>
    <w:uiPriority w:val="0"/>
    <w:pPr>
      <w:framePr w:y="4469"/>
    </w:pPr>
  </w:style>
  <w:style w:type="character" w:customStyle="1" w:styleId="128">
    <w:name w:val="段 Char"/>
    <w:basedOn w:val="28"/>
    <w:link w:val="20"/>
    <w:uiPriority w:val="0"/>
    <w:rPr>
      <w:rFonts w:ascii="宋体"/>
      <w:sz w:val="21"/>
      <w:lang w:val="en-US" w:eastAsia="zh-CN" w:bidi="ar-SA"/>
    </w:rPr>
  </w:style>
  <w:style w:type="character" w:customStyle="1" w:styleId="129">
    <w:name w:val="发布"/>
    <w:basedOn w:val="28"/>
    <w:uiPriority w:val="0"/>
    <w:rPr>
      <w:rFonts w:ascii="黑体" w:eastAsia="黑体"/>
      <w:spacing w:val="85"/>
      <w:w w:val="100"/>
      <w:position w:val="3"/>
      <w:sz w:val="28"/>
      <w:szCs w:val="28"/>
    </w:rPr>
  </w:style>
  <w:style w:type="character" w:customStyle="1" w:styleId="130">
    <w:name w:val="附录公式 Char"/>
    <w:basedOn w:val="128"/>
    <w:link w:val="83"/>
    <w:uiPriority w:val="0"/>
  </w:style>
  <w:style w:type="character" w:customStyle="1" w:styleId="131">
    <w:name w:val="首示例 Char"/>
    <w:basedOn w:val="28"/>
    <w:link w:val="108"/>
    <w:uiPriority w:val="0"/>
    <w:rPr>
      <w:rFonts w:ascii="宋体" w:hAnsi="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0849;&#26426;&#26500;\&#21307;&#30103;&#26426;&#26500;&#33021;&#28304;&#36164;&#28304;&#28040;&#36153;&#23450;&#39069;&#21450;&#35745;&#31639;&#26041;&#278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医疗机构能源资源消费定额及计算方法.dot</Template>
  <Pages>11</Pages>
  <Words>3689</Words>
  <Characters>4148</Characters>
  <Lines>40</Lines>
  <Paragraphs>11</Paragraphs>
  <ScaleCrop>false</ScaleCrop>
  <LinksUpToDate>false</LinksUpToDate>
  <CharactersWithSpaces>4241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2017-11-21T07:11:00Z</dcterms:created>
  <dc:creator>Administrator</dc:creator>
  <cp:lastModifiedBy>Administrator</cp:lastModifiedBy>
  <dcterms:modified xsi:type="dcterms:W3CDTF">2017-11-21T07:12:23Z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