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03" w:rsidRDefault="00502603"/>
    <w:tbl>
      <w:tblPr>
        <w:tblW w:w="5000" w:type="pct"/>
        <w:jc w:val="center"/>
        <w:tblCellSpacing w:w="0" w:type="dxa"/>
        <w:tblBorders>
          <w:top w:val="single" w:sz="6" w:space="0" w:color="DEDEDE"/>
          <w:left w:val="single" w:sz="6" w:space="0" w:color="DEDEDE"/>
          <w:bottom w:val="single" w:sz="6" w:space="0" w:color="DEDEDE"/>
          <w:right w:val="single" w:sz="6" w:space="0" w:color="DEDEDE"/>
        </w:tblBorders>
        <w:tblCellMar>
          <w:left w:w="0" w:type="dxa"/>
          <w:right w:w="0" w:type="dxa"/>
        </w:tblCellMar>
        <w:tblLook w:val="04A0" w:firstRow="1" w:lastRow="0" w:firstColumn="1" w:lastColumn="0" w:noHBand="0" w:noVBand="1"/>
      </w:tblPr>
      <w:tblGrid>
        <w:gridCol w:w="8336"/>
      </w:tblGrid>
      <w:tr w:rsidR="00502603" w:rsidRPr="00502603" w:rsidTr="009A41FF">
        <w:trPr>
          <w:tblCellSpacing w:w="0" w:type="dxa"/>
          <w:jc w:val="center"/>
        </w:trPr>
        <w:tc>
          <w:tcPr>
            <w:tcW w:w="5000" w:type="pct"/>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306"/>
            </w:tblGrid>
            <w:tr w:rsidR="00502603" w:rsidRPr="00502603" w:rsidTr="00502603">
              <w:trPr>
                <w:trHeight w:val="450"/>
                <w:tblCellSpacing w:w="0" w:type="dxa"/>
                <w:jc w:val="center"/>
              </w:trPr>
              <w:tc>
                <w:tcPr>
                  <w:tcW w:w="0" w:type="auto"/>
                  <w:vAlign w:val="center"/>
                  <w:hideMark/>
                </w:tcPr>
                <w:p w:rsidR="00502603" w:rsidRPr="00502603" w:rsidRDefault="00502603" w:rsidP="00502603">
                  <w:pPr>
                    <w:widowControl/>
                    <w:spacing w:line="324" w:lineRule="atLeast"/>
                    <w:jc w:val="center"/>
                    <w:rPr>
                      <w:rFonts w:ascii="宋体" w:eastAsia="宋体" w:hAnsi="宋体" w:cs="宋体"/>
                      <w:color w:val="3D3D3D"/>
                      <w:kern w:val="0"/>
                      <w:sz w:val="18"/>
                      <w:szCs w:val="18"/>
                    </w:rPr>
                  </w:pPr>
                </w:p>
              </w:tc>
            </w:tr>
            <w:tr w:rsidR="00502603" w:rsidRPr="00502603" w:rsidTr="00502603">
              <w:trPr>
                <w:trHeight w:val="825"/>
                <w:tblCellSpacing w:w="0" w:type="dxa"/>
                <w:jc w:val="center"/>
              </w:trPr>
              <w:tc>
                <w:tcPr>
                  <w:tcW w:w="0" w:type="auto"/>
                  <w:vAlign w:val="center"/>
                  <w:hideMark/>
                </w:tcPr>
                <w:p w:rsidR="00502603" w:rsidRPr="00502603" w:rsidRDefault="00502603" w:rsidP="00502603">
                  <w:pPr>
                    <w:widowControl/>
                    <w:spacing w:line="390" w:lineRule="atLeast"/>
                    <w:jc w:val="center"/>
                    <w:rPr>
                      <w:rFonts w:ascii="宋体" w:eastAsia="宋体" w:hAnsi="宋体" w:cs="宋体"/>
                      <w:b/>
                      <w:bCs/>
                      <w:color w:val="3D3D3D"/>
                      <w:kern w:val="0"/>
                      <w:sz w:val="36"/>
                      <w:szCs w:val="36"/>
                    </w:rPr>
                  </w:pPr>
                  <w:r w:rsidRPr="00502603">
                    <w:rPr>
                      <w:rFonts w:ascii="宋体" w:eastAsia="宋体" w:hAnsi="宋体" w:cs="宋体" w:hint="eastAsia"/>
                      <w:b/>
                      <w:bCs/>
                      <w:color w:val="3D3D3D"/>
                      <w:kern w:val="0"/>
                      <w:sz w:val="36"/>
                      <w:szCs w:val="36"/>
                    </w:rPr>
                    <w:t>山东省发展和改革委员会关于印发山东省耗煤项目煤炭消费减量替代管理办法的通知</w:t>
                  </w:r>
                </w:p>
              </w:tc>
            </w:tr>
            <w:tr w:rsidR="00502603" w:rsidRPr="00502603" w:rsidTr="00502603">
              <w:trPr>
                <w:trHeight w:val="420"/>
                <w:tblCellSpacing w:w="0" w:type="dxa"/>
                <w:jc w:val="center"/>
              </w:trPr>
              <w:tc>
                <w:tcPr>
                  <w:tcW w:w="0" w:type="auto"/>
                  <w:vAlign w:val="center"/>
                  <w:hideMark/>
                </w:tcPr>
                <w:tbl>
                  <w:tblPr>
                    <w:tblW w:w="2250" w:type="dxa"/>
                    <w:jc w:val="center"/>
                    <w:tblCellSpacing w:w="0" w:type="dxa"/>
                    <w:tblCellMar>
                      <w:left w:w="0" w:type="dxa"/>
                      <w:right w:w="0" w:type="dxa"/>
                    </w:tblCellMar>
                    <w:tblLook w:val="04A0" w:firstRow="1" w:lastRow="0" w:firstColumn="1" w:lastColumn="0" w:noHBand="0" w:noVBand="1"/>
                  </w:tblPr>
                  <w:tblGrid>
                    <w:gridCol w:w="2250"/>
                  </w:tblGrid>
                  <w:tr w:rsidR="00502603" w:rsidRPr="00502603" w:rsidTr="00502603">
                    <w:trPr>
                      <w:trHeight w:val="120"/>
                      <w:tblCellSpacing w:w="0" w:type="dxa"/>
                      <w:jc w:val="center"/>
                    </w:trPr>
                    <w:tc>
                      <w:tcPr>
                        <w:tcW w:w="0" w:type="auto"/>
                        <w:vAlign w:val="center"/>
                        <w:hideMark/>
                      </w:tcPr>
                      <w:p w:rsidR="00502603" w:rsidRPr="00502603" w:rsidRDefault="00502603" w:rsidP="00502603">
                        <w:pPr>
                          <w:widowControl/>
                          <w:spacing w:line="324" w:lineRule="atLeast"/>
                          <w:jc w:val="left"/>
                          <w:rPr>
                            <w:rFonts w:ascii="宋体" w:eastAsia="宋体" w:hAnsi="宋体" w:cs="宋体"/>
                            <w:color w:val="3D3D3D"/>
                            <w:kern w:val="0"/>
                            <w:sz w:val="12"/>
                            <w:szCs w:val="18"/>
                          </w:rPr>
                        </w:pPr>
                      </w:p>
                    </w:tc>
                  </w:tr>
                </w:tbl>
                <w:p w:rsidR="00502603" w:rsidRPr="00502603" w:rsidRDefault="00502603" w:rsidP="00502603">
                  <w:pPr>
                    <w:widowControl/>
                    <w:spacing w:line="324" w:lineRule="atLeast"/>
                    <w:jc w:val="center"/>
                    <w:rPr>
                      <w:rFonts w:ascii="宋体" w:eastAsia="宋体" w:hAnsi="宋体" w:cs="宋体"/>
                      <w:color w:val="3D3D3D"/>
                      <w:kern w:val="0"/>
                      <w:sz w:val="18"/>
                      <w:szCs w:val="18"/>
                    </w:rPr>
                  </w:pPr>
                </w:p>
              </w:tc>
            </w:tr>
            <w:tr w:rsidR="00502603" w:rsidRPr="00502603" w:rsidTr="00502603">
              <w:trPr>
                <w:tblCellSpacing w:w="0" w:type="dxa"/>
                <w:jc w:val="center"/>
              </w:trPr>
              <w:tc>
                <w:tcPr>
                  <w:tcW w:w="0" w:type="auto"/>
                  <w:tcMar>
                    <w:top w:w="150" w:type="dxa"/>
                    <w:left w:w="0" w:type="dxa"/>
                    <w:bottom w:w="150" w:type="dxa"/>
                    <w:right w:w="0" w:type="dxa"/>
                  </w:tcMar>
                  <w:hideMark/>
                </w:tcPr>
                <w:p w:rsidR="00502603" w:rsidRPr="00502603" w:rsidRDefault="00502603" w:rsidP="00502603">
                  <w:pPr>
                    <w:widowControl/>
                    <w:spacing w:line="378" w:lineRule="atLeast"/>
                    <w:jc w:val="left"/>
                    <w:rPr>
                      <w:rFonts w:ascii="宋体" w:eastAsia="宋体" w:hAnsi="宋体" w:cs="宋体"/>
                      <w:color w:val="333333"/>
                      <w:kern w:val="0"/>
                      <w:szCs w:val="21"/>
                    </w:rPr>
                  </w:pPr>
                  <w:r w:rsidRPr="00502603">
                    <w:rPr>
                      <w:rFonts w:ascii="宋体" w:eastAsia="宋体" w:hAnsi="宋体" w:cs="宋体" w:hint="eastAsia"/>
                      <w:color w:val="333333"/>
                      <w:kern w:val="0"/>
                      <w:szCs w:val="21"/>
                    </w:rPr>
                    <w:t>SDPR-2018-0030004</w:t>
                  </w:r>
                </w:p>
                <w:p w:rsidR="00502603" w:rsidRPr="00502603" w:rsidRDefault="00502603" w:rsidP="00502603">
                  <w:pPr>
                    <w:widowControl/>
                    <w:spacing w:before="100" w:beforeAutospacing="1" w:after="100" w:afterAutospacing="1" w:line="378" w:lineRule="atLeast"/>
                    <w:jc w:val="center"/>
                    <w:rPr>
                      <w:rFonts w:ascii="宋体" w:eastAsia="宋体" w:hAnsi="宋体" w:cs="宋体"/>
                      <w:color w:val="3D3D3D"/>
                      <w:kern w:val="0"/>
                      <w:szCs w:val="21"/>
                    </w:rPr>
                  </w:pPr>
                  <w:r w:rsidRPr="00502603">
                    <w:rPr>
                      <w:rFonts w:ascii="宋体" w:eastAsia="宋体" w:hAnsi="宋体" w:cs="宋体" w:hint="eastAsia"/>
                      <w:color w:val="3D3D3D"/>
                      <w:kern w:val="0"/>
                      <w:szCs w:val="21"/>
                    </w:rPr>
                    <w:br/>
                    <w:t>鲁发改环资〔2018〕671号</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各市发展改革委、有关市经济和信息化委：</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为落实煤炭消费总量控制目标，规范耗煤固定资产投资项目煤炭消费减量替代管理，根据国家有关规定，结合我省实际，省发展改革委研究制定了《山东省耗煤项目煤炭消费减量替代管理办法》，现印发给你们。请加强与煤炭消费总量控制工作相关部门的衔接配合，认真抓好贯彻落实。</w:t>
                  </w:r>
                </w:p>
                <w:p w:rsidR="00502603" w:rsidRPr="00502603" w:rsidRDefault="00502603" w:rsidP="00502603">
                  <w:pPr>
                    <w:widowControl/>
                    <w:spacing w:before="100" w:beforeAutospacing="1" w:after="100" w:afterAutospacing="1" w:line="378" w:lineRule="atLeast"/>
                    <w:jc w:val="right"/>
                    <w:rPr>
                      <w:rFonts w:ascii="宋体" w:eastAsia="宋体" w:hAnsi="宋体" w:cs="宋体"/>
                      <w:color w:val="3D3D3D"/>
                      <w:kern w:val="0"/>
                      <w:szCs w:val="21"/>
                    </w:rPr>
                  </w:pPr>
                  <w:r w:rsidRPr="00502603">
                    <w:rPr>
                      <w:rFonts w:ascii="宋体" w:eastAsia="宋体" w:hAnsi="宋体" w:cs="宋体" w:hint="eastAsia"/>
                      <w:color w:val="3D3D3D"/>
                      <w:kern w:val="0"/>
                      <w:szCs w:val="21"/>
                    </w:rPr>
                    <w:t>山东省发展和改革委员会</w:t>
                  </w:r>
                  <w:r w:rsidRPr="00502603">
                    <w:rPr>
                      <w:rFonts w:ascii="宋体" w:eastAsia="宋体" w:hAnsi="宋体" w:cs="宋体" w:hint="eastAsia"/>
                      <w:color w:val="3D3D3D"/>
                      <w:kern w:val="0"/>
                      <w:szCs w:val="21"/>
                    </w:rPr>
                    <w:br/>
                    <w:t>2018年6月15日</w:t>
                  </w:r>
                </w:p>
                <w:p w:rsidR="00502603" w:rsidRDefault="00502603" w:rsidP="00502603">
                  <w:pPr>
                    <w:widowControl/>
                    <w:spacing w:before="100" w:beforeAutospacing="1" w:after="100" w:afterAutospacing="1" w:line="378" w:lineRule="atLeast"/>
                    <w:jc w:val="center"/>
                    <w:rPr>
                      <w:rFonts w:ascii="宋体" w:eastAsia="宋体" w:hAnsi="宋体" w:cs="宋体"/>
                      <w:b/>
                      <w:bCs/>
                      <w:color w:val="3D3D3D"/>
                      <w:kern w:val="0"/>
                      <w:sz w:val="24"/>
                      <w:szCs w:val="24"/>
                    </w:rPr>
                  </w:pPr>
                </w:p>
                <w:p w:rsidR="00502603" w:rsidRDefault="00502603" w:rsidP="00502603">
                  <w:pPr>
                    <w:widowControl/>
                    <w:spacing w:before="100" w:beforeAutospacing="1" w:after="100" w:afterAutospacing="1" w:line="378" w:lineRule="atLeast"/>
                    <w:jc w:val="center"/>
                    <w:rPr>
                      <w:rFonts w:ascii="宋体" w:eastAsia="宋体" w:hAnsi="宋体" w:cs="宋体"/>
                      <w:b/>
                      <w:bCs/>
                      <w:color w:val="3D3D3D"/>
                      <w:kern w:val="0"/>
                      <w:sz w:val="24"/>
                      <w:szCs w:val="24"/>
                    </w:rPr>
                  </w:pPr>
                </w:p>
                <w:p w:rsidR="00502603" w:rsidRPr="00502603" w:rsidRDefault="00502603" w:rsidP="00502603">
                  <w:pPr>
                    <w:widowControl/>
                    <w:spacing w:before="100" w:beforeAutospacing="1" w:after="100" w:afterAutospacing="1" w:line="378" w:lineRule="atLeast"/>
                    <w:jc w:val="center"/>
                    <w:rPr>
                      <w:rFonts w:ascii="宋体" w:eastAsia="宋体" w:hAnsi="宋体" w:cs="宋体"/>
                      <w:color w:val="3D3D3D"/>
                      <w:kern w:val="0"/>
                      <w:szCs w:val="21"/>
                    </w:rPr>
                  </w:pPr>
                  <w:r w:rsidRPr="00502603">
                    <w:rPr>
                      <w:rFonts w:ascii="宋体" w:eastAsia="宋体" w:hAnsi="宋体" w:cs="宋体" w:hint="eastAsia"/>
                      <w:b/>
                      <w:bCs/>
                      <w:color w:val="3D3D3D"/>
                      <w:kern w:val="0"/>
                      <w:sz w:val="24"/>
                      <w:szCs w:val="24"/>
                    </w:rPr>
                    <w:t>山东省耗煤项目煤炭消费减量替代管理办法</w:t>
                  </w:r>
                </w:p>
                <w:p w:rsidR="00502603" w:rsidRPr="00502603" w:rsidRDefault="00502603" w:rsidP="00502603">
                  <w:pPr>
                    <w:widowControl/>
                    <w:spacing w:before="100" w:beforeAutospacing="1" w:after="100" w:afterAutospacing="1" w:line="378" w:lineRule="atLeast"/>
                    <w:jc w:val="center"/>
                    <w:rPr>
                      <w:rFonts w:ascii="宋体" w:eastAsia="宋体" w:hAnsi="宋体" w:cs="宋体"/>
                      <w:color w:val="3D3D3D"/>
                      <w:kern w:val="0"/>
                      <w:szCs w:val="21"/>
                    </w:rPr>
                  </w:pPr>
                  <w:r w:rsidRPr="00502603">
                    <w:rPr>
                      <w:rFonts w:ascii="宋体" w:eastAsia="宋体" w:hAnsi="宋体" w:cs="宋体" w:hint="eastAsia"/>
                      <w:b/>
                      <w:bCs/>
                      <w:color w:val="3D3D3D"/>
                      <w:kern w:val="0"/>
                      <w:szCs w:val="21"/>
                    </w:rPr>
                    <w:t>第一章　总　则</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第一条　为进一步加强大气污染防治，落实煤炭消费总量控制目标，促进煤炭清洁高效利用，规范耗煤固定资产投资项目煤炭消费减量替代管理，根据《中华人民共和国大气污染防治法》、《国务院关于印发大气污染防治行动计划的通知》（国发〔2013〕37号）、国家发展改革委等6部委《关于印发〈重点地区煤炭消费减量替代管理暂行办法〉的通知》（发改环资〔2014〕2984号）、《国务院关于印发“十三五”生态环境保护规划的通知》（国发〔2016〕65号），结合《山东省节约能源条例》《中共山东省委 山东省人民政府关于加快推进生态文明建设的实施方案》和山东省发展改革委等部门《关于印发山东省煤炭消费减量替代工作方案的通知》（鲁发改环资〔2015〕791号）等文件要求，制定本办法。</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lastRenderedPageBreak/>
                    <w:t xml:space="preserve">　　第二条　本办法适用于山东省行政区域范围内涉及直接消费煤炭的固定资产投资项目（以下简称耗煤项目）。</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直接消费煤炭是指以原煤、洗精煤、其他洗煤、水煤浆、型煤、煤粉等为原料或燃料，进行生产加工或燃烧，其耗煤设备（设施、工具）主要包括锅炉、窑炉、气化炉、炼铁高炉等。</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固定资产投资项目是指按照规定需经各级投资主管部门审批、核准、备案的新建、改建、扩建项目。</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第三条　煤炭消费减量替代是指拟建耗煤项目新增煤炭消费，需由其他途径落实替代源，减少煤炭消费来实现。煤炭消费替代途径主要包括：</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（一）淘汰落后产能、压减过剩产能以及企业关停、转产减少的煤炭消费；</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（二）实施集中供热、耗煤设备节能技改或拆除淘汰燃煤锅炉等设备减少的煤炭消费；</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（三）改用可再生能源、天然气、电力等清洁能源替代的煤炭消费；</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（四）其他符合要求减少煤炭消费的途径。</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第四条　所有替代源应为2016年1月1</w:t>
                  </w:r>
                  <w:bookmarkStart w:id="0" w:name="_GoBack"/>
                  <w:bookmarkEnd w:id="0"/>
                  <w:r w:rsidRPr="00502603">
                    <w:rPr>
                      <w:rFonts w:ascii="宋体" w:eastAsia="宋体" w:hAnsi="宋体" w:cs="宋体" w:hint="eastAsia"/>
                      <w:color w:val="3D3D3D"/>
                      <w:kern w:val="0"/>
                      <w:szCs w:val="21"/>
                    </w:rPr>
                    <w:t>日后采取以上途径形成的煤炭消费实际压减量，包括已经落实措施形成的现货量和拟采取措施在项目投产前形成的期货量。其中，现货量占比至少为50%，期货量必须于项目投产前完成煤炭消费替代。</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第五条　耗煤项目按照行业分类，确定替代标准，严格执行煤炭消费减量替代制度。</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第六条　耗煤项目煤炭消费减量替代应当严格执行替代标准。</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煤炭消费替代量计算公式为：Q=A×H</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其中，Q指煤炭消费替代量，A指拟建耗煤项目设计新增煤炭消费量，H指行业系数。</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第七条　按照各行业固定资产投资项目煤炭利用效率不同，确定行业系数。</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国家鼓励的单机60万千瓦及以上超临界、超超临界机组电站建设项目和采用背压或抽背型热电联产、热电冷多联产、30万千瓦及以上热电联产机组等煤炭利用效率高的项目，行业系数H为1.1。</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lastRenderedPageBreak/>
                    <w:t xml:space="preserve">　　化学原料及化学制品制造业、非金属矿物制品业、黑色金属冶炼及压延加工业、有色金属冶炼及压延加工业、石油加工炼焦及核燃料加工业等高耗能行业项目，行业系数H为1.2。</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第八条　根据全省大气污染防治和生态文明建设的实际需要，本着区别对待、逐步提高的原则，适时调整耗煤项目煤炭消费替代行业系数。</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第九条　煤炭消费替代仅限于山东省行政区域范围内通过前款途径减少的煤炭消费量，可以通过政府统筹、协议转让或市场购买等方式取得。政府统筹需由市、县政府或其授权的煤炭消费总量控制主管部门出具承诺，协议转让或市场购买需提供双方签订的转让协议、成交票据、相关部门出具的认定文件等证明材料。</w:t>
                  </w:r>
                </w:p>
                <w:p w:rsidR="00502603" w:rsidRPr="00502603" w:rsidRDefault="00502603" w:rsidP="00502603">
                  <w:pPr>
                    <w:widowControl/>
                    <w:spacing w:before="100" w:beforeAutospacing="1" w:after="100" w:afterAutospacing="1" w:line="378" w:lineRule="atLeast"/>
                    <w:jc w:val="center"/>
                    <w:rPr>
                      <w:rFonts w:ascii="宋体" w:eastAsia="宋体" w:hAnsi="宋体" w:cs="宋体"/>
                      <w:color w:val="3D3D3D"/>
                      <w:kern w:val="0"/>
                      <w:szCs w:val="21"/>
                    </w:rPr>
                  </w:pPr>
                  <w:r w:rsidRPr="00502603">
                    <w:rPr>
                      <w:rFonts w:ascii="宋体" w:eastAsia="宋体" w:hAnsi="宋体" w:cs="宋体" w:hint="eastAsia"/>
                      <w:b/>
                      <w:bCs/>
                      <w:color w:val="3D3D3D"/>
                      <w:kern w:val="0"/>
                      <w:szCs w:val="21"/>
                    </w:rPr>
                    <w:t>第二章　煤炭消费减量替代方案</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第十条　拟建耗煤项目单位应当编制煤炭消费减量替代方案。替代方案可以委托专业中介机构编制，也可以自行编制。</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第十一条　煤炭消费减量替代方案应包括下列内容：</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（一）项目建设单位的基本情况；</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（二）项目简介；</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（三）工艺和设备情况；</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（四）项目能源及煤炭消费情况，包括所使用的煤炭种类、数量、各项参数指标；</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（五）煤炭替代源、年度替代量及落实措施；</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（六）煤炭替代量测算方法和相关证明材料；</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（七）结论建议；</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（八）煤炭替代源汇总表。</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第十二条　煤炭替代源形成的煤炭消费压减量，应根据不同的替代途径科学测算。</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（一）淘汰落后产能、压减过剩产能或其他原因造成整体关停退出的企业，形成的煤炭消费压减量按照企业关停前3年实际煤炭消费量平均值测算。</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（二）淘汰落后产能、压减过剩产能或其他原因造成部分耗煤设备设施关停拆除的企业，</w:t>
                  </w:r>
                  <w:r w:rsidRPr="00502603">
                    <w:rPr>
                      <w:rFonts w:ascii="宋体" w:eastAsia="宋体" w:hAnsi="宋体" w:cs="宋体" w:hint="eastAsia"/>
                      <w:color w:val="3D3D3D"/>
                      <w:kern w:val="0"/>
                      <w:szCs w:val="21"/>
                    </w:rPr>
                    <w:lastRenderedPageBreak/>
                    <w:t>形成的煤炭消费压减量应根据企业能源统计数据，核定设备设施关停前3年煤炭消费量，按平均值进行测算。</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（三）企业进行节能技术改造，提高煤炭能源利用效率形成的煤炭消费压减量，按照改造前后煤炭消费量的差额测算。</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（四）淘汰燃煤锅炉、实施“煤改气”“煤改电”形成的煤炭消费压减量，按照其关停前3年实际煤炭消费量平均值进行测算，对确无计量装置、无耗煤量记录的燃煤锅炉，可以按以下经验公式进行估算：</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年煤炭消费压减量=蒸吨总量÷煤汽比×运行时间×负荷率</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（五）工业窑炉等耗煤设备实施“煤改气”“煤改电”等形成的煤炭消费压减量，应根据有关部门统计数据或企业统计报表及能源消费情况，核定其改造前3年实际煤炭消费量，按平均值进行测算。</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（六）城乡居民“煤改电”“煤改气”等形成的煤炭消费压减量，按每户不高于耗煤2吨并与生活消费耗煤统计数据比对后核算。</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第十三条　拟建耗煤项目的新增煤炭消费量和煤炭替代量均按实物量计算，耗煤项目所耗煤炭种类及发热值应与该行业或耗煤设备耗煤要求一致，替代煤炭种类及发热值应按实际测定值，无实际测定值的替代项目按行业或耗煤设备耗煤要求估算。上述方法均无法确定的，可按折标系数0.7143kgce/kg计算。</w:t>
                  </w:r>
                </w:p>
                <w:p w:rsidR="00502603" w:rsidRPr="00502603" w:rsidRDefault="00502603" w:rsidP="00502603">
                  <w:pPr>
                    <w:widowControl/>
                    <w:spacing w:before="100" w:beforeAutospacing="1" w:after="100" w:afterAutospacing="1" w:line="378" w:lineRule="atLeast"/>
                    <w:jc w:val="center"/>
                    <w:rPr>
                      <w:rFonts w:ascii="宋体" w:eastAsia="宋体" w:hAnsi="宋体" w:cs="宋体"/>
                      <w:color w:val="3D3D3D"/>
                      <w:kern w:val="0"/>
                      <w:szCs w:val="21"/>
                    </w:rPr>
                  </w:pPr>
                  <w:r w:rsidRPr="00502603">
                    <w:rPr>
                      <w:rFonts w:ascii="宋体" w:eastAsia="宋体" w:hAnsi="宋体" w:cs="宋体" w:hint="eastAsia"/>
                      <w:b/>
                      <w:bCs/>
                      <w:color w:val="3D3D3D"/>
                      <w:kern w:val="0"/>
                      <w:szCs w:val="21"/>
                    </w:rPr>
                    <w:t>第三章　管理流程</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第十四条　煤炭消费减量替代方案的审查，按照项目立项权限实行分级负责。</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呈报国家审批、核准的耗煤项目以及由省级投资主管部门审批、核准、备案的耗煤项目，项目煤炭消费减量替代方案由省发展改革委负责审查并出具审查意见。</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由市县投资主管部门审批、核准、备案的耗煤项目，项目煤炭消费减量替代方案的审查，由各市煤炭消费总量控制主管部门自主决定。</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第十五条　对煤炭消费减量替代方案主要从以下方面进行审查：</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（一）煤炭消费减量替代方案的系统性与完整性；</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lastRenderedPageBreak/>
                    <w:t xml:space="preserve">　　（二）耗煤项目新增耗煤量测算的科学性、准确性；</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（三）煤炭替代源的可行性、真实性和替代量计算的科学性、准确性；</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（四）煤炭替代量达到标准要求及满足当地煤炭消费总量控制要求；</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（五）相关证明材料齐备。</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第十六条　申请省级出具项目煤炭消费减量替代方案审查意见的，由项目单位直接向省发展改革委提出申请。省发展改革委根据项目单位申请，向项目所在市煤炭消费总量控制主管部门进行函询，并委托第三方专业技术机构对拟建耗煤项目煤炭消费减量替代方案进行专家评审和现场核查，逐项核实替代源，并形成专家评审核查意见，作为审查依据。项目所在市煤炭消费总量控制主管部门要结合专家评审意见，对项目替代源进行核实确认，出具所有替代源真实有效且无重复替代的承诺、所有替代源同意用于该项目建设的支持性意见以及项目建成后煤炭消费纳入当地煤炭消费总量控制的承诺。</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第十七条　拟建耗煤项目煤炭消费减量替代方案审查工作，须在项目节能审查前完成。对于不再单独进行节能审查的耗煤项目，煤炭消费减量替代方案审查工作须在项目立项前完成。</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第十八条　因项目建设内容调整造成煤炭消费量增加的，项目建设单位应在项目投产前，按本办法要求落实煤炭替代新增消费量，并编制煤炭消费减量替代补充方案,报原煤炭消费减量替代方案审查部门进行审查。</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第十九条　煤炭消费总量控制主管部门应在收到耗煤项目煤炭消费减量替代方案后15个工作日内形成审查意见，其中委托评审和现场核查以及相关部门出具支持性意见和承诺的时间不计算在内。拟建耗煤项目煤炭消费减量替代方案审查意见自印发之日起2年内有效。</w:t>
                  </w:r>
                </w:p>
                <w:p w:rsidR="00502603" w:rsidRPr="00502603" w:rsidRDefault="00502603" w:rsidP="00502603">
                  <w:pPr>
                    <w:widowControl/>
                    <w:spacing w:before="100" w:beforeAutospacing="1" w:after="100" w:afterAutospacing="1" w:line="378" w:lineRule="atLeast"/>
                    <w:jc w:val="center"/>
                    <w:rPr>
                      <w:rFonts w:ascii="宋体" w:eastAsia="宋体" w:hAnsi="宋体" w:cs="宋体"/>
                      <w:color w:val="3D3D3D"/>
                      <w:kern w:val="0"/>
                      <w:szCs w:val="21"/>
                    </w:rPr>
                  </w:pPr>
                  <w:r w:rsidRPr="00502603">
                    <w:rPr>
                      <w:rFonts w:ascii="宋体" w:eastAsia="宋体" w:hAnsi="宋体" w:cs="宋体" w:hint="eastAsia"/>
                      <w:b/>
                      <w:bCs/>
                      <w:color w:val="3D3D3D"/>
                      <w:kern w:val="0"/>
                      <w:szCs w:val="21"/>
                    </w:rPr>
                    <w:t>第四章　监督检查</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第二十条　市县投资主管部门应加强各类投资项目审核把关和监督管理，对未实行煤炭消费减量替代的耗煤项目一律不予审批、核准、备案。</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第二十一条　市县煤炭消费总量控制主管部门应对辖区内各耗煤项目煤炭消费减量替代方案审查意见落实情况进行跟踪监管，确保各项替代措施落实到位。</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第二十二条　省发展改革委对各市耗煤项目煤炭消费减量替代方案落实情况组织开展检查，发现问题及时提出整改处理意见。</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lastRenderedPageBreak/>
                    <w:t xml:space="preserve">　　第二十三条　耗煤项目建设单位以重复替代、提供虚假材料等不正当手段通过审查的，煤炭消费总量控制主管部门应撤销原审查意见，将相关情况向社会公布，纳入失信记录，并按规定列入失信企业“黑名单”。</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第二十四条　第三方机构应当按照客观公正原则，认真开展煤炭消费减量替代方案编制、评审、核查等工作。</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第二十五条　负责耗煤项目煤炭消费减量替代审查、监管的工作人员徇私舞弊、滥用职权、玩忽职守，导致审查结论严重失实的，依法依规追究责任。</w:t>
                  </w:r>
                </w:p>
                <w:p w:rsidR="00502603" w:rsidRPr="00502603" w:rsidRDefault="00502603" w:rsidP="00502603">
                  <w:pPr>
                    <w:widowControl/>
                    <w:spacing w:before="100" w:beforeAutospacing="1" w:after="100" w:afterAutospacing="1" w:line="378" w:lineRule="atLeast"/>
                    <w:jc w:val="center"/>
                    <w:rPr>
                      <w:rFonts w:ascii="宋体" w:eastAsia="宋体" w:hAnsi="宋体" w:cs="宋体"/>
                      <w:color w:val="3D3D3D"/>
                      <w:kern w:val="0"/>
                      <w:szCs w:val="21"/>
                    </w:rPr>
                  </w:pPr>
                  <w:r w:rsidRPr="00502603">
                    <w:rPr>
                      <w:rFonts w:ascii="宋体" w:eastAsia="宋体" w:hAnsi="宋体" w:cs="宋体" w:hint="eastAsia"/>
                      <w:b/>
                      <w:bCs/>
                      <w:color w:val="3D3D3D"/>
                      <w:kern w:val="0"/>
                      <w:szCs w:val="21"/>
                    </w:rPr>
                    <w:t>第五章　附　则</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第二十六条　本办法由省发展改革委负责解释。</w:t>
                  </w:r>
                </w:p>
                <w:p w:rsidR="00502603" w:rsidRPr="00502603" w:rsidRDefault="00502603" w:rsidP="00502603">
                  <w:pPr>
                    <w:widowControl/>
                    <w:spacing w:before="100" w:beforeAutospacing="1" w:after="100" w:afterAutospacing="1" w:line="378" w:lineRule="atLeast"/>
                    <w:jc w:val="left"/>
                    <w:rPr>
                      <w:rFonts w:ascii="宋体" w:eastAsia="宋体" w:hAnsi="宋体" w:cs="宋体"/>
                      <w:color w:val="3D3D3D"/>
                      <w:kern w:val="0"/>
                      <w:szCs w:val="21"/>
                    </w:rPr>
                  </w:pPr>
                  <w:r w:rsidRPr="00502603">
                    <w:rPr>
                      <w:rFonts w:ascii="宋体" w:eastAsia="宋体" w:hAnsi="宋体" w:cs="宋体" w:hint="eastAsia"/>
                      <w:color w:val="3D3D3D"/>
                      <w:kern w:val="0"/>
                      <w:szCs w:val="21"/>
                    </w:rPr>
                    <w:t xml:space="preserve">　　第二十七条　本管理办法自2018年7月15日起施行，有效期至2023年6月30日。</w:t>
                  </w:r>
                </w:p>
                <w:p w:rsidR="00502603" w:rsidRPr="00502603" w:rsidRDefault="00502603" w:rsidP="00502603">
                  <w:pPr>
                    <w:widowControl/>
                    <w:spacing w:before="100" w:beforeAutospacing="1" w:after="100" w:afterAutospacing="1" w:line="378" w:lineRule="atLeast"/>
                    <w:jc w:val="right"/>
                    <w:rPr>
                      <w:rFonts w:ascii="宋体" w:eastAsia="宋体" w:hAnsi="宋体" w:cs="宋体"/>
                      <w:color w:val="3D3D3D"/>
                      <w:kern w:val="0"/>
                      <w:szCs w:val="21"/>
                    </w:rPr>
                  </w:pPr>
                  <w:r w:rsidRPr="00502603">
                    <w:rPr>
                      <w:rFonts w:ascii="宋体" w:eastAsia="宋体" w:hAnsi="宋体" w:cs="宋体" w:hint="eastAsia"/>
                      <w:color w:val="3D3D3D"/>
                      <w:kern w:val="0"/>
                      <w:szCs w:val="21"/>
                    </w:rPr>
                    <w:t>（2018年6月15日印发）</w:t>
                  </w:r>
                </w:p>
              </w:tc>
            </w:tr>
          </w:tbl>
          <w:p w:rsidR="00502603" w:rsidRPr="00502603" w:rsidRDefault="00502603" w:rsidP="00502603">
            <w:pPr>
              <w:widowControl/>
              <w:spacing w:line="324" w:lineRule="atLeast"/>
              <w:jc w:val="left"/>
              <w:rPr>
                <w:rFonts w:ascii="宋体" w:eastAsia="宋体" w:hAnsi="宋体" w:cs="宋体"/>
                <w:color w:val="3D3D3D"/>
                <w:kern w:val="0"/>
                <w:sz w:val="18"/>
                <w:szCs w:val="18"/>
              </w:rPr>
            </w:pPr>
          </w:p>
        </w:tc>
      </w:tr>
    </w:tbl>
    <w:p w:rsidR="00373E9F" w:rsidRDefault="00373E9F"/>
    <w:sectPr w:rsidR="00373E9F" w:rsidSect="009A41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7AD" w:rsidRDefault="00B577AD" w:rsidP="00502603">
      <w:r>
        <w:separator/>
      </w:r>
    </w:p>
  </w:endnote>
  <w:endnote w:type="continuationSeparator" w:id="0">
    <w:p w:rsidR="00B577AD" w:rsidRDefault="00B577AD" w:rsidP="0050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7AD" w:rsidRDefault="00B577AD" w:rsidP="00502603">
      <w:r>
        <w:separator/>
      </w:r>
    </w:p>
  </w:footnote>
  <w:footnote w:type="continuationSeparator" w:id="0">
    <w:p w:rsidR="00B577AD" w:rsidRDefault="00B577AD" w:rsidP="0050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32"/>
    <w:rsid w:val="00002BAE"/>
    <w:rsid w:val="00051C32"/>
    <w:rsid w:val="00181C09"/>
    <w:rsid w:val="00307580"/>
    <w:rsid w:val="00373E9F"/>
    <w:rsid w:val="00502603"/>
    <w:rsid w:val="009A41FF"/>
    <w:rsid w:val="00B577AD"/>
    <w:rsid w:val="00FC5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8BA4A2-90E1-4D92-9AF7-0CDBCE18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26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2603"/>
    <w:rPr>
      <w:sz w:val="18"/>
      <w:szCs w:val="18"/>
    </w:rPr>
  </w:style>
  <w:style w:type="paragraph" w:styleId="a4">
    <w:name w:val="footer"/>
    <w:basedOn w:val="a"/>
    <w:link w:val="Char0"/>
    <w:uiPriority w:val="99"/>
    <w:unhideWhenUsed/>
    <w:rsid w:val="00502603"/>
    <w:pPr>
      <w:tabs>
        <w:tab w:val="center" w:pos="4153"/>
        <w:tab w:val="right" w:pos="8306"/>
      </w:tabs>
      <w:snapToGrid w:val="0"/>
      <w:jc w:val="left"/>
    </w:pPr>
    <w:rPr>
      <w:sz w:val="18"/>
      <w:szCs w:val="18"/>
    </w:rPr>
  </w:style>
  <w:style w:type="character" w:customStyle="1" w:styleId="Char0">
    <w:name w:val="页脚 Char"/>
    <w:basedOn w:val="a0"/>
    <w:link w:val="a4"/>
    <w:uiPriority w:val="99"/>
    <w:rsid w:val="00502603"/>
    <w:rPr>
      <w:sz w:val="18"/>
      <w:szCs w:val="18"/>
    </w:rPr>
  </w:style>
  <w:style w:type="character" w:styleId="a5">
    <w:name w:val="Hyperlink"/>
    <w:basedOn w:val="a0"/>
    <w:uiPriority w:val="99"/>
    <w:semiHidden/>
    <w:unhideWhenUsed/>
    <w:rsid w:val="00502603"/>
    <w:rPr>
      <w:color w:val="0000FF"/>
      <w:u w:val="single"/>
    </w:rPr>
  </w:style>
  <w:style w:type="character" w:customStyle="1" w:styleId="apple-converted-space">
    <w:name w:val="apple-converted-space"/>
    <w:basedOn w:val="a0"/>
    <w:rsid w:val="00502603"/>
  </w:style>
  <w:style w:type="paragraph" w:styleId="a6">
    <w:name w:val="Normal (Web)"/>
    <w:basedOn w:val="a"/>
    <w:uiPriority w:val="99"/>
    <w:unhideWhenUsed/>
    <w:rsid w:val="00502603"/>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02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80688">
      <w:bodyDiv w:val="1"/>
      <w:marLeft w:val="0"/>
      <w:marRight w:val="0"/>
      <w:marTop w:val="0"/>
      <w:marBottom w:val="0"/>
      <w:divBdr>
        <w:top w:val="none" w:sz="0" w:space="0" w:color="auto"/>
        <w:left w:val="none" w:sz="0" w:space="0" w:color="auto"/>
        <w:bottom w:val="none" w:sz="0" w:space="0" w:color="auto"/>
        <w:right w:val="none" w:sz="0" w:space="0" w:color="auto"/>
      </w:divBdr>
      <w:divsChild>
        <w:div w:id="1066487732">
          <w:marLeft w:val="0"/>
          <w:marRight w:val="0"/>
          <w:marTop w:val="0"/>
          <w:marBottom w:val="0"/>
          <w:divBdr>
            <w:top w:val="none" w:sz="0" w:space="0" w:color="auto"/>
            <w:left w:val="none" w:sz="0" w:space="0" w:color="auto"/>
            <w:bottom w:val="none" w:sz="0" w:space="0" w:color="auto"/>
            <w:right w:val="none" w:sz="0" w:space="0" w:color="auto"/>
          </w:divBdr>
          <w:divsChild>
            <w:div w:id="2104180468">
              <w:marLeft w:val="0"/>
              <w:marRight w:val="0"/>
              <w:marTop w:val="0"/>
              <w:marBottom w:val="0"/>
              <w:divBdr>
                <w:top w:val="none" w:sz="0" w:space="0" w:color="auto"/>
                <w:left w:val="none" w:sz="0" w:space="0" w:color="auto"/>
                <w:bottom w:val="none" w:sz="0" w:space="0" w:color="auto"/>
                <w:right w:val="none" w:sz="0" w:space="0" w:color="auto"/>
              </w:divBdr>
            </w:div>
            <w:div w:id="11159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595</Words>
  <Characters>3398</Characters>
  <Application>Microsoft Office Word</Application>
  <DocSecurity>0</DocSecurity>
  <Lines>28</Lines>
  <Paragraphs>7</Paragraphs>
  <ScaleCrop>false</ScaleCrop>
  <Company>微软中国</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4</cp:revision>
  <dcterms:created xsi:type="dcterms:W3CDTF">2019-02-28T02:59:00Z</dcterms:created>
  <dcterms:modified xsi:type="dcterms:W3CDTF">2019-12-06T01:46:00Z</dcterms:modified>
</cp:coreProperties>
</file>