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center"/>
        <w:textAlignment w:val="baseline"/>
        <w:rPr>
          <w:rFonts w:hint="eastAsia" w:ascii="微软雅黑" w:hAnsi="微软雅黑" w:eastAsia="微软雅黑" w:cs="微软雅黑"/>
          <w:i w:val="0"/>
          <w:caps w:val="0"/>
          <w:color w:val="000000"/>
          <w:spacing w:val="0"/>
          <w:sz w:val="19"/>
          <w:szCs w:val="19"/>
          <w:shd w:val="clear" w:fill="F5F5F5"/>
          <w:vertAlign w:val="baseline"/>
        </w:rPr>
      </w:pPr>
      <w:r>
        <w:rPr>
          <w:rFonts w:hint="eastAsia" w:ascii="微软雅黑" w:hAnsi="微软雅黑" w:eastAsia="微软雅黑" w:cs="微软雅黑"/>
          <w:i w:val="0"/>
          <w:caps w:val="0"/>
          <w:color w:val="000000"/>
          <w:spacing w:val="0"/>
          <w:sz w:val="19"/>
          <w:szCs w:val="19"/>
          <w:shd w:val="clear" w:fill="F5F5F5"/>
          <w:vertAlign w:val="baseline"/>
        </w:rPr>
        <w:t>中华人民共和国水法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center"/>
        <w:textAlignment w:val="baseline"/>
        <w:rPr>
          <w:rFonts w:hint="eastAsia" w:ascii="微软雅黑" w:hAnsi="微软雅黑" w:eastAsia="微软雅黑" w:cs="微软雅黑"/>
          <w:i w:val="0"/>
          <w:caps w:val="0"/>
          <w:color w:val="000000"/>
          <w:spacing w:val="0"/>
          <w:sz w:val="19"/>
          <w:szCs w:val="19"/>
          <w:shd w:val="clear" w:fill="F5F5F5"/>
          <w:vertAlign w:val="baseline"/>
          <w:lang w:eastAsia="zh-CN"/>
        </w:rPr>
      </w:pPr>
      <w:r>
        <w:rPr>
          <w:rFonts w:hint="eastAsia" w:ascii="微软雅黑" w:hAnsi="微软雅黑" w:eastAsia="微软雅黑" w:cs="微软雅黑"/>
          <w:i w:val="0"/>
          <w:caps w:val="0"/>
          <w:color w:val="000000"/>
          <w:spacing w:val="0"/>
          <w:sz w:val="19"/>
          <w:szCs w:val="19"/>
          <w:shd w:val="clear" w:fill="F5F5F5"/>
          <w:vertAlign w:val="baseline"/>
          <w:lang w:eastAsia="zh-CN"/>
        </w:rPr>
        <w:t>（</w:t>
      </w:r>
      <w:r>
        <w:rPr>
          <w:rFonts w:hint="eastAsia" w:ascii="微软雅黑" w:hAnsi="微软雅黑" w:eastAsia="微软雅黑" w:cs="微软雅黑"/>
          <w:i w:val="0"/>
          <w:caps w:val="0"/>
          <w:color w:val="000000"/>
          <w:spacing w:val="0"/>
          <w:sz w:val="19"/>
          <w:szCs w:val="19"/>
          <w:shd w:val="clear" w:fill="F5F5F5"/>
          <w:vertAlign w:val="baseline"/>
          <w:lang w:val="en-US" w:eastAsia="zh-CN"/>
        </w:rPr>
        <w:t>2002年8月29日第九届全国人民代表大会常务委员会第二十九次会议通过</w:t>
      </w:r>
      <w:bookmarkStart w:id="0" w:name="_GoBack"/>
      <w:bookmarkEnd w:id="0"/>
      <w:r>
        <w:rPr>
          <w:rFonts w:hint="eastAsia" w:ascii="微软雅黑" w:hAnsi="微软雅黑" w:eastAsia="微软雅黑" w:cs="微软雅黑"/>
          <w:i w:val="0"/>
          <w:caps w:val="0"/>
          <w:color w:val="000000"/>
          <w:spacing w:val="0"/>
          <w:sz w:val="19"/>
          <w:szCs w:val="19"/>
          <w:shd w:val="clear" w:fill="F5F5F5"/>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第一条　为了合理开发、利用、节约和保护水资源，防治水害，实现水资源的可持续利用，适应国民经济和社会发展的需要，制定本法。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第二条　在中华人民共和国领域内开发、利用、节约、保护、管理水资源，防治水害，适用本法。本法所称水资源，包括地表水和地下水。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第三条　水资源属于国家所有。水资源的所有权由国务院代表国家行使。农村集体经济组织的水塘和由农村集体经济组织修建管理的水库中的水，归各该农村集体经济组织使用。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第四条　开发、利用、节约、保护水资源和防治水害，应当全面规划、统筹兼顾、标本兼治、综合利用、讲求效益，发挥水资源的多种功能，协调好生活、生产经营和生态环境用水。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第五条　县级以上人民政府应当加强水利基础设施建设，并将其纳入本级国民经济和社会发展计划。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第六条　国家鼓励单位和个人依法开发、利用水资源，并保护其合法权益。开发、利用水资源的单位和个人有依法保护水资源的义务。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第八条　国家厉行节约用水，大力推行节约用水措施，推广节约用水新技术、新工艺，发展节水型工业、农业和服务业，建立节水型社会。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各级人民政府应当采取措施，加强对节约用水的管理，建立节约用水技术开发推广体系，培育和发展节约用水产业。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单位和个人有节约用水的义务。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第九条　国家保护水资源，采取有效措施，保护植被，植树种草，涵养水源，防治水土流失和水体污染，改善生态环境。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第十条　国家鼓励和支持开发、利用、节约、保护、管理水资源和防治水害的先进科学技术的研究、推广和应用。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第十一条　在开发、利用、节约、保护、管理水资源和防治水害等方面成绩显著的单位和个人，由人民政府给予奖励。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第十二条　国家对水资源实行流域管理与行政区域管理相结合的管理体制。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国务院水行政主管部门负责全国水资源的统一管理和监督工作。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国务院水行政主管部门在国家确定的重要江河、湖泊设立的流域管理机构(以下简称流域管理机构)，在所管辖的范围内行使法律、行政法规规定的和国务院水行政主管部门授予的水资源管理和监督职责。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县级以上地方人民政府水行政主管部门按照规定的权限，负责本行政区域内水资源的统一管理和监督工作。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第十三条　国务院有关部门按照职责分工，负责水资源开发、利用、节约和保护的有关工作。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县级以上地方人民政府有关部门按照职责分工，负责本行政区域内水资源开发、利用、节约和保护的有关工作。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第二章　水资源规划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第十四条　国家制定全国水资源战略规划。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开发、利用、节约、保护水资源和防治水害，应当按照流域、区域统一制定规划。规划分为流域规划和区域规划。流域规划包括流域综合规划和流域专业规划;区域规划包括区域综合规划和区域专业规划。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第十五条　流域范围内的区域规划应当服从流域规划，专业规划应当服从综合规划。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流域综合规划和区域综合规划以及与土地利用关系密切的专业规划，应当与国民经济和社会发展规划以及土地利用总体规划、城市总体规划和环境保护规划相协调，兼顾各地区、各行业的需要。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第十六条　制定规划，必须进行水资源综合科学考察和调查评价。水资源综合科学考察和调查评价，由县级以上人民政府水行政主管部门会同同级有关部门组织进行。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县级以上人民政府应当加强水文、水资源信息系统建设。县级以上人民政府水行政主管部门和流域管理机构应当加强对水资源的动态监测。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基本水文资料应当按照国家有关规定予以公开。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专业规划由县级以上人民政府有关部门编制，征求同级其他有关部门意见后，报本级人民政府批准。其中，防洪规划、水土保持规划的编制、批准，依照防洪法、水土保持法的有关规定执行。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第十八条　规划一经批准，必须严格执行。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经批准的规划需要修改时，必须按照规划编制程序经原批准机关批准。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第三章　水资源开发利用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第二十条　开发、利用水资源，应当坚持兴利与除害相结合，兼顾上下游、左右岸和有关地区之间的利益，充分发挥水资源的综合效益，并服从防洪的总体安排。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第二十一条　开发、利用水资源，应当首先满足城乡居民生活用水，并兼顾农业、工业、生态环境用水以及航运等需要。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在干旱和半干旱地区开发、利用水资源，应当充分考虑生态环境用水需要。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第二十二条　跨流域调水，应当进行全面规划和科学论证，统筹兼顾调出和调入流域的用水需要，防止对生态环境造成破坏。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第二十三条　地方各级人民政府应当结合本地区水资源的实际情况，按照地表水与地下水统一调度开发、开源与节流相结合、节流优先和污水处理再利用的原则，合理组织开发、综合利用水资源。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第二十四条　在水资源短缺的地区，国家鼓励对雨水和微咸水的收集、开发、利用和对海水的利用、淡化。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第二十五条　地方各级人民政府应当加强对灌溉、排涝、水土保持工作的领导，促进农业生产发展;在容易发生盐碱化和渍害的地区，应当采取措施，控制和降低地下水的水位。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农村集体经济组织或者其成员依法在本集体经济组织所有的集体土地或者承包土地上投资兴建水工程设施的，按照谁投资建设谁管理和谁受益的原则，对水工程设施及其蓄水进行管理和合理使用。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农村集体经济组织修建水库应当经县级以上地方人民政府水行政主管部门批准。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第二十六条　国家鼓励开发、利用水能资源。在水能丰富的河流，应当有计划地进行多目标梯级开发。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建设水力发电站，应当保护生态环境，兼顾防洪、供水、灌溉、航运、竹木流放和渔业等方面的需要。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在不通航的河流或者人工水道上修建闸坝后可以通航的，闸坝建设单位应当同时修建过船设施或者预留过船设施位置。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第二十八条　任何单位和个人引水、截(蓄)水、排水，不得损害公共利益和他人的合法权益。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第二十九条　国家对水工程建设移民实行开发性移民的方针，按照前期补偿、补助与后期扶持相结合的原则，妥善安排移民的生产和生活，保护移民的合法权益。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移民安置应当与工程建设同步进行。建设单位应当根据安置地区的环境容量和可持续发展的原则，因地制宜，编制移民安置规划，经依法批准后，由有关地方人民政府组织实施。所需移民经费列入工程建设投资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第四章　水资源、水域和水工程的保护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第三十一条　从事水资源开发、利用、节约、保护和防治水害等水事活动，应当遵守经批准的规划;因违反规划造成江河和湖泊水域使用功能降低、地下水超采、地面沉降、水体污染的，应当承担治理责任。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开采矿藏或者建设地下工程，因疏干排水导致地下水水位下降、水源枯竭或者地面塌陷，采矿单位或者建设单位应当采取补救措施;对他人生活和生产造成损失的，依法给予补偿。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384"/>
        <w:textAlignment w:val="baseline"/>
        <w:rPr>
          <w:rFonts w:hint="eastAsia" w:ascii="微软雅黑" w:hAnsi="微软雅黑" w:eastAsia="微软雅黑" w:cs="微软雅黑"/>
          <w:i w:val="0"/>
          <w:caps w:val="0"/>
          <w:color w:val="000000"/>
          <w:spacing w:val="0"/>
          <w:sz w:val="19"/>
          <w:szCs w:val="1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县级以上人民政府水行政主管部门或者流域管理机构应当按照水功能区对水质的要求和水体的自然净化能力，核定该水域的纳污能力，向环境保护行政主管部门提出该水域的限制排污总量意见。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第三十三条　国家建立饮用水水源保护区制度。省、自治区、直辖市人民政府应当划定饮用水水源保护区，并采取措施，防止水源枯竭和水体污染，保证城乡居民饮用水安全。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第三十四条　禁止在饮用水水源保护区内设置排污口。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在江河、湖泊新建、改建或者扩大排污口，应当经过有管辖权的水行政主管部门或者流域管理机构同意，由环境保护行政主管部门负责对该建设项目的环境影响报告书进行审批。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第三十五条　从事工程建设，占用农业灌溉水源、灌排工程设施，或者对原有灌溉用水、供水水源有不利影响的，建设单位应当采取相应的补救措施;造成损失的，依法给予补偿。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第三十七条　禁止在江河、湖泊、水库、运河、渠道内弃置、堆放阻碍行洪的物体和种植阻碍行洪的林木及高秆作物。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禁止在河道管理范围内建设妨碍行洪的建筑物、构筑物以及从事影响河势稳定、危害河岸堤防安全和其他妨碍河道行洪的活动。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因建设前款工程设施，需要扩建、改建、拆除或者损坏原有水工程设施的，建设单位应当负担扩建、改建的费用和损失补偿。但是，原有工程设施属于违法工程的除外。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第三十九条　国家实行河道采砂许可制度。河道采砂许可制度实施办法，由国务院规定。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在河道管理范围内采砂，影响河势稳定或者危及堤防安全的，有关县级以上人民政府水行政主管部门应当划定禁采区和规定禁采期，并予以公告。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第四十条　禁止围湖造地。已经围垦的，应当按照国家规定的防洪标准有计划地退地还湖。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禁止围垦河道。确需围垦的，应当经过科学论证，经省、自治区、直辖市人民政府水行政主管部门或者国务院水行政主管部门同意后，报本级人民政府批准。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第四十一条　单位和个人有保护水工程的义务，不得侵占、毁坏堤防、护岸、防汛、水文监测、水文地质监测等工程设施。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第四十二条　县级以上地方人民政府应当采取措施，保障本行政区域内水工程，特别是水坝和堤防的安全，限期消除险情。水行政主管部门应当加强对水工程安全的监督管理。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第四十三条　国家对水工程实施保护。国家所有的水工程应当按照国务院的规定划定工程管理和保护范围。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国务院水行政主管部门或者流域管理机构管理的水工程，由主管部门或者流域管理机构商有关省、自治区、直辖市人民政府划定工程管理和保护范围。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384"/>
        <w:textAlignment w:val="baseline"/>
        <w:rPr>
          <w:rFonts w:hint="eastAsia" w:ascii="微软雅黑" w:hAnsi="微软雅黑" w:eastAsia="微软雅黑" w:cs="微软雅黑"/>
          <w:i w:val="0"/>
          <w:caps w:val="0"/>
          <w:color w:val="000000"/>
          <w:spacing w:val="0"/>
          <w:sz w:val="19"/>
          <w:szCs w:val="1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前款规定以外的其他水工程，应当按照省、自治区、直辖市人民政府的规定，划定工程保护范围和保护职责。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在水工程保护范围内，禁止从事影响水工程运行和危害水工程安全的爆破、打井、采石、取土等活动。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第五章　水资源配置和节约使用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水中长期供求规划应当依据水的供求现状、国民经济和社会发展规划、流域规划、区域规划，按照水资源供需协调、综合平衡、保护生态、厉行节约、合理开源的原则制定。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第四十五条　调蓄径流和分配水量，应当依据流域规划和水中长期供求规划，以流域为单元制定水量分配方案。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水量分配方案和旱情紧急情况下的水量调度预案经批准后，有关地方人民政府必须执行。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在不同行政区域之间的边界河流上建设水资源开发、利用项目，应当符合该流域经批准的水量分配方案，由有关县级以上地方人民政府报共同的上一级人民政府水行政主管部门或者有关流域管理机构批准。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第四十六条　县级以上地方人民政府水行政主管部门或者流域管理机构应当根据批准的水量分配方案和年度预测来水量，制定年度水量分配方案和调度计划，实施水量统一调度;有关地方人民政府必须服从。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国家确定的重要江河、湖泊的年度水量分配方案，应当纳入国家的国民经济和社会发展年度计划。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第四十七条　国家对用水实行总量控制和定额管理相结合的制度。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实施取水许可制度和征收管理水资源费的具体办法，由国务院规定。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第四十九条　用水应当计量，并按照批准的用水计划用水。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用水实行计量收费和超定额累进加价制度。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第五十条　各级人民政府应当推行节水灌溉方式和节水技术，对农业蓄水、输水工程采取必要的防渗漏措施，提高农业用水效率。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第五十一条　工业用水应当采用先进技术、工艺和设备，增加循环用水次数，提高水的重复利用率。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第五十二条　城市人民政府应当因地制宜采取有效措施，推广节水型生活用水器具，降低城市供水管网漏失率，提高生活用水效率;加强城市污水集中处理，鼓励使用再生水，提高污水再生利用率。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第五十三条　新建、扩建、改建建设项目，应当制订节水措施方案，配套建设节水设施。节水设施应当与主体工程同时设计、同时施工、同时投产。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供水企业和自建供水设施的单位应当加强供水设施的维护管理，减少水的漏失。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第五十四条　各级人民政府应当积极采取措施，改善城乡居民的饮用水条件。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第六章　水事纠纷处理与执法监督检查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在水事纠纷解决前，当事人不得单方面改变现状。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第五十八条　县级以上人民政府或者其授权的部门在处理水事纠纷时，有权采取临时处置措施，有关各方或者当事人必须服从。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第五十九条　县级以上人民政府水行政主管部门和流域管理机构应当对违反本法的行为加强监督检查并依法进行查处。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水政监督检查人员应当忠于职守，秉公执法。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第六十条　县级以上人民政府水行政主管部门、流域管理机构及其水政监督检查人员履行本法规定的监督检查职责时，有权采取下列措施: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(一)要求被检查单位提供有关文件、证照、资料;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(二)要求被检查单位就执行本法的有关问题作出说明;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(三)进入被检查单位的生产场所进行调查;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(四)责令被检查单位停止违反本法的行为，履行法定义务。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第六十一条　有关单位或者个人对水政监督检查人员的监督检查工作应当给予配合，不得拒绝或者阻碍水政监督检查人员依法执行职务。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第六十二条　水政监督检查人员在履行监督检查职责时，应当向被检查单位或者个人出示执法证件。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第六十三条　县级以上人民政府或者上级水行政主管部门发现本级或者下级水行政主管部门在监督检查工作中有违法或者失职行为的，应当责令其限期改正。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(一)在江河、湖泊、水库、运河、渠道内弃置、堆放阻碍行洪的物体和种植阻碍行洪的林木及高秆作物的;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(二)围湖造地或者未经批准围垦河道的。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第六十七条　在饮用水水源保护区内设置排污口的，由县级以上地方人民政府责令限期拆除、恢复原状;逾期不拆除、不恢复原状的，强行拆除、恢复原状，并处五万元以上十万元以下的罚款。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第六十八条　生产、销售或者在生产经营中使用国家明令淘汰的落后的、耗水量高的工艺、设备和产品的，由县级以上地方人民政府经济综合主管部门责令停止生产、销售或者使用，处二万元以上十万元以下的罚款。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第六十九条　有下列行为之一的，由县级以上人民政府水行政主管部门或者流域管理机构依据职权，责令停止违法行为，限期采取补救措施，处二万元以上十万元以下的罚款;情节严重的，吊销其取水许可证: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(一)未经批准擅自取水的;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(二)未依照批准的取水许可规定条件取水的。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384"/>
        <w:textAlignment w:val="baseline"/>
        <w:rPr>
          <w:rFonts w:hint="eastAsia" w:ascii="微软雅黑" w:hAnsi="微软雅黑" w:eastAsia="微软雅黑" w:cs="微软雅黑"/>
          <w:i w:val="0"/>
          <w:caps w:val="0"/>
          <w:color w:val="000000"/>
          <w:spacing w:val="0"/>
          <w:sz w:val="19"/>
          <w:szCs w:val="1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(一)侵占、毁坏水工程及堤防、护岸等有关设施，毁坏防汛、水文监测、水文地质监测设施的;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(二)在水工程保护范围内，从事影响水工程运行和危害水工程安全的爆破、打井、采石、取土等活动的。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第七十五条　不同行政区域之间发生水事纠纷，有下列行为之一的，对负有责任的主管人员和其他直接责任人员依法给予行政处分: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(一)拒不执行水量分配方案和水量调度预案的;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(二)拒不服从水量统一调度的;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(三)拒不执行上一级人民政府的裁决的;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(四)在水事纠纷解决前，未经各方达成协议或者上一级人民政府批准，单方面违反本法规定改变水的现状的。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第七十六条　引水、截(蓄)水、排水，损害公共利益或者他人合法权益的，依法承担民事责任。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第七十七条　对违反本法第三十九条有关河道采砂许可制度规定的行政处罚，由国务院规定。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第八章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第七十八条　中华人民共和国缔结或者参加的与国际或者国境边界河流、湖泊有关的国际条约、协定与中华人民共和国法律有不同规定的，适用国际条约、协定的规定。但是，中华人民共和国声明保留的条款除外。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第七十九条　本法所称水工程，是指在江河、湖泊和地下水源上开发、利用、控制、调配和保护水资源的各类工程。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第八十条　海水的开发、利用、保护和管理，依照有关法律的规定执行。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第八十一条　从事防洪活动，依照防洪法的规定执行。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5F5F5"/>
          <w:vertAlign w:val="baseline"/>
        </w:rPr>
        <w:t>水污染防治，依照水污染防治法的规定执行。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360" w:lineRule="atLeast"/>
        <w:ind w:left="0" w:right="0" w:firstLine="420"/>
        <w:jc w:val="left"/>
        <w:textAlignment w:val="baseline"/>
      </w:pPr>
      <w:r>
        <w:rPr>
          <w:rFonts w:hint="eastAsia" w:ascii="微软雅黑" w:hAnsi="微软雅黑" w:eastAsia="微软雅黑" w:cs="微软雅黑"/>
          <w:i w:val="0"/>
          <w:caps w:val="0"/>
          <w:color w:val="000000"/>
          <w:spacing w:val="0"/>
          <w:sz w:val="19"/>
          <w:szCs w:val="19"/>
          <w:shd w:val="clear" w:fill="F5F5F5"/>
          <w:vertAlign w:val="baseline"/>
        </w:rPr>
        <w:t>第八十二条　本法自2002年10月1日起施行。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30BB"/>
    <w:rsid w:val="093A6248"/>
    <w:rsid w:val="0D0A2B08"/>
    <w:rsid w:val="11F57D1C"/>
    <w:rsid w:val="13A825E1"/>
    <w:rsid w:val="1439230D"/>
    <w:rsid w:val="1788791F"/>
    <w:rsid w:val="1CFD5991"/>
    <w:rsid w:val="1DC05011"/>
    <w:rsid w:val="22F65ED5"/>
    <w:rsid w:val="25CC68DD"/>
    <w:rsid w:val="27FE6B10"/>
    <w:rsid w:val="2AF15898"/>
    <w:rsid w:val="38771A8D"/>
    <w:rsid w:val="3ED47B17"/>
    <w:rsid w:val="3EE97BBE"/>
    <w:rsid w:val="4264168B"/>
    <w:rsid w:val="42A05E51"/>
    <w:rsid w:val="49A41F75"/>
    <w:rsid w:val="4A422A75"/>
    <w:rsid w:val="4E7014AF"/>
    <w:rsid w:val="5B0317A6"/>
    <w:rsid w:val="5B0A1022"/>
    <w:rsid w:val="60C303E7"/>
    <w:rsid w:val="6BCF4DC1"/>
    <w:rsid w:val="722B2FC6"/>
    <w:rsid w:val="73F064D4"/>
    <w:rsid w:val="76495671"/>
    <w:rsid w:val="79AA2543"/>
    <w:rsid w:val="7A8E2506"/>
    <w:rsid w:val="7DB56ACC"/>
    <w:rsid w:val="7E02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Chars="0"/>
      <w:jc w:val="both"/>
    </w:pPr>
    <w:rPr>
      <w:rFonts w:eastAsia="仿宋" w:asciiTheme="minorAscii" w:hAnsiTheme="minorAscii" w:cstheme="minorBidi"/>
      <w:kern w:val="2"/>
      <w:sz w:val="28"/>
      <w:szCs w:val="24"/>
      <w:lang w:val="en-US" w:eastAsia="zh-CN" w:bidi="ar-SA"/>
    </w:rPr>
  </w:style>
  <w:style w:type="paragraph" w:styleId="2">
    <w:name w:val="heading 1"/>
    <w:basedOn w:val="1"/>
    <w:next w:val="1"/>
    <w:link w:val="9"/>
    <w:qFormat/>
    <w:uiPriority w:val="0"/>
    <w:pPr>
      <w:keepNext/>
      <w:keepLines/>
      <w:spacing w:before="120" w:beforeLines="0" w:beforeAutospacing="0" w:after="120" w:afterLines="0" w:afterAutospacing="0" w:line="240" w:lineRule="auto"/>
      <w:ind w:leftChars="200"/>
      <w:jc w:val="center"/>
      <w:outlineLvl w:val="0"/>
    </w:pPr>
    <w:rPr>
      <w:rFonts w:eastAsiaTheme="majorEastAsia"/>
      <w:b/>
      <w:kern w:val="44"/>
      <w:sz w:val="32"/>
    </w:rPr>
  </w:style>
  <w:style w:type="paragraph" w:styleId="3">
    <w:name w:val="heading 2"/>
    <w:basedOn w:val="1"/>
    <w:next w:val="1"/>
    <w:semiHidden/>
    <w:unhideWhenUsed/>
    <w:qFormat/>
    <w:uiPriority w:val="0"/>
    <w:pPr>
      <w:keepNext/>
      <w:keepLines/>
      <w:spacing w:before="20" w:beforeLines="0" w:beforeAutospacing="0" w:after="20" w:afterLines="0" w:afterAutospacing="0" w:line="240" w:lineRule="auto"/>
      <w:ind w:leftChars="0"/>
      <w:jc w:val="left"/>
      <w:outlineLvl w:val="1"/>
    </w:pPr>
    <w:rPr>
      <w:rFonts w:ascii="Arial" w:hAnsi="Arial" w:eastAsia="仿宋"/>
      <w:b/>
      <w:sz w:val="30"/>
    </w:rPr>
  </w:style>
  <w:style w:type="paragraph" w:styleId="4">
    <w:name w:val="heading 3"/>
    <w:basedOn w:val="1"/>
    <w:next w:val="1"/>
    <w:semiHidden/>
    <w:unhideWhenUsed/>
    <w:qFormat/>
    <w:uiPriority w:val="0"/>
    <w:pPr>
      <w:keepNext/>
      <w:keepLines/>
      <w:spacing w:before="20" w:beforeLines="0" w:beforeAutospacing="0" w:after="20" w:afterLines="0" w:afterAutospacing="0" w:line="240" w:lineRule="auto"/>
      <w:ind w:leftChars="0"/>
      <w:jc w:val="left"/>
      <w:outlineLvl w:val="2"/>
    </w:pPr>
    <w:rPr>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1"/>
    <w:basedOn w:val="1"/>
    <w:next w:val="1"/>
    <w:qFormat/>
    <w:uiPriority w:val="0"/>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1 Char"/>
    <w:link w:val="2"/>
    <w:qFormat/>
    <w:uiPriority w:val="0"/>
    <w:rPr>
      <w:rFonts w:asciiTheme="minorAscii" w:hAnsiTheme="minorAscii" w:eastAsiaTheme="majorEastAsia"/>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2020-12-15T23:50:00Z</dcterms:created>
  <dc:creator>huawei</dc:creator>
  <cp:lastModifiedBy>徦の偭</cp:lastModifiedBy>
  <dcterms:modified xsi:type="dcterms:W3CDTF">2021-01-05T00:43:03Z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